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i w:val="0"/>
          <w:caps w:val="0"/>
          <w:color w:val="262626"/>
          <w:spacing w:val="0"/>
          <w:sz w:val="44"/>
          <w:szCs w:val="44"/>
          <w:shd w:val="clear" w:fill="FFFFFF"/>
          <w:lang w:eastAsia="zh-CN"/>
        </w:rPr>
        <w:t>九龙坡区</w:t>
      </w:r>
      <w:r>
        <w:rPr>
          <w:rFonts w:hint="eastAsia" w:ascii="方正小标宋_GBK" w:hAnsi="方正小标宋_GBK" w:eastAsia="方正小标宋_GBK" w:cs="方正小标宋_GBK"/>
          <w:i w:val="0"/>
          <w:caps w:val="0"/>
          <w:color w:val="262626"/>
          <w:spacing w:val="0"/>
          <w:sz w:val="44"/>
          <w:szCs w:val="44"/>
          <w:shd w:val="clear" w:fill="FFFFFF"/>
        </w:rPr>
        <w:t>养老服务领域行政处罚事项清单</w:t>
      </w:r>
    </w:p>
    <w:bookmarkEnd w:id="0"/>
    <w:tbl>
      <w:tblPr>
        <w:tblStyle w:val="5"/>
        <w:tblW w:w="15375" w:type="dxa"/>
        <w:jc w:val="center"/>
        <w:tblInd w:w="-122" w:type="dxa"/>
        <w:tblLayout w:type="fixed"/>
        <w:tblCellMar>
          <w:top w:w="0" w:type="dxa"/>
          <w:left w:w="108" w:type="dxa"/>
          <w:bottom w:w="0" w:type="dxa"/>
          <w:right w:w="108" w:type="dxa"/>
        </w:tblCellMar>
      </w:tblPr>
      <w:tblGrid>
        <w:gridCol w:w="611"/>
        <w:gridCol w:w="700"/>
        <w:gridCol w:w="850"/>
        <w:gridCol w:w="1134"/>
        <w:gridCol w:w="5245"/>
        <w:gridCol w:w="1134"/>
        <w:gridCol w:w="2157"/>
        <w:gridCol w:w="3544"/>
      </w:tblGrid>
      <w:tr>
        <w:tblPrEx>
          <w:tblLayout w:type="fixed"/>
          <w:tblCellMar>
            <w:top w:w="0" w:type="dxa"/>
            <w:left w:w="108" w:type="dxa"/>
            <w:bottom w:w="0" w:type="dxa"/>
            <w:right w:w="108" w:type="dxa"/>
          </w:tblCellMar>
        </w:tblPrEx>
        <w:trPr>
          <w:trHeight w:val="794" w:hRule="atLeast"/>
          <w:tblHeader/>
          <w:jc w:val="center"/>
        </w:trPr>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序号</w:t>
            </w:r>
          </w:p>
        </w:tc>
        <w:tc>
          <w:tcPr>
            <w:tcW w:w="70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范围</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法律依据名称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违法行为</w:t>
            </w:r>
          </w:p>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名称</w:t>
            </w:r>
          </w:p>
        </w:tc>
        <w:tc>
          <w:tcPr>
            <w:tcW w:w="5245"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ind w:firstLine="360" w:firstLineChars="20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行政处罚依据</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裁量阶次</w:t>
            </w:r>
          </w:p>
        </w:tc>
        <w:tc>
          <w:tcPr>
            <w:tcW w:w="2157"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裁量情形</w:t>
            </w:r>
          </w:p>
        </w:tc>
        <w:tc>
          <w:tcPr>
            <w:tcW w:w="354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方正黑体_GBK" w:hAnsi="宋体" w:eastAsia="方正黑体_GBK" w:cs="宋体"/>
                <w:color w:val="000000"/>
                <w:kern w:val="0"/>
                <w:sz w:val="18"/>
                <w:szCs w:val="18"/>
              </w:rPr>
            </w:pPr>
            <w:r>
              <w:rPr>
                <w:rFonts w:hint="eastAsia" w:ascii="方正黑体_GBK" w:hAnsi="宋体" w:eastAsia="方正黑体_GBK" w:cs="宋体"/>
                <w:color w:val="000000"/>
                <w:kern w:val="0"/>
                <w:sz w:val="18"/>
                <w:szCs w:val="18"/>
              </w:rPr>
              <w:t>裁量标准</w:t>
            </w:r>
          </w:p>
        </w:tc>
      </w:tr>
      <w:tr>
        <w:tblPrEx>
          <w:tblLayout w:type="fixed"/>
          <w:tblCellMar>
            <w:top w:w="0" w:type="dxa"/>
            <w:left w:w="108" w:type="dxa"/>
            <w:bottom w:w="0" w:type="dxa"/>
            <w:right w:w="108" w:type="dxa"/>
          </w:tblCellMar>
        </w:tblPrEx>
        <w:trPr>
          <w:trHeight w:val="2608"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1</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《重庆市老年人权益保障条例》</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对养老机构违规收取和使用保证金、押金等行为的处罚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《重庆市老年人权益保障条例》第六十七条 养老机构向入住的老年人收取的保证金或者押金等费用，超过该老年人入住养老机构月服务费用六倍的，由民政部门责令立即退还超额部分本金，并支付银行同期活期存款利息；拒不退还的，处违法金额一倍以上三倍以下的罚款。</w:t>
            </w: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养老机构向入住的老年人收取的保证金或者押金等费用，超出范围使用的，由民政部门责令改正；拒不改正的，处违法金额一倍以上三倍以下的罚款。</w:t>
            </w: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向入住的老年人收取的保证金或者押金等费用，超过该老年人入住养老机构月服务费用六倍，拒不退还，造成较小不良后果的；超额部分为月服务费3倍以下的；超出范围使用，责令改正，拒不改正，造成较小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责令立即退还超额部分本金，并支付银行同期活期存款利息，拒不退还的，处违法金额1倍以上1.5倍以下的罚款；超出范围使用的，责令改正，拒不改正的，处违法金额1倍以上1.5倍以下的罚款。</w:t>
            </w:r>
          </w:p>
        </w:tc>
      </w:tr>
      <w:tr>
        <w:tblPrEx>
          <w:tblLayout w:type="fixed"/>
          <w:tblCellMar>
            <w:top w:w="0" w:type="dxa"/>
            <w:left w:w="108" w:type="dxa"/>
            <w:bottom w:w="0" w:type="dxa"/>
            <w:right w:w="108" w:type="dxa"/>
          </w:tblCellMar>
        </w:tblPrEx>
        <w:trPr>
          <w:trHeight w:val="2608"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一般</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向入住的老年人收取的保证金或者押金等费用，超过该老年人入住养老机构月服务费用六倍，拒不退还，造成较大不良后果的；超额部分为月服务费3倍以上6倍以下的；超出范围使用，责令改正，拒不改正，造成较大不良后果。</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责令立即退还超额部分本金，并支付银行同期活期存款利息，拒不退还的，处违法金额1.5倍以上2倍以下的罚款；超出范围使用的，责令改正，拒不改正的，处违法金额1.5倍以上2倍以下的罚款。</w:t>
            </w:r>
          </w:p>
        </w:tc>
      </w:tr>
      <w:tr>
        <w:tblPrEx>
          <w:tblLayout w:type="fixed"/>
          <w:tblCellMar>
            <w:top w:w="0" w:type="dxa"/>
            <w:left w:w="108" w:type="dxa"/>
            <w:bottom w:w="0" w:type="dxa"/>
            <w:right w:w="108" w:type="dxa"/>
          </w:tblCellMar>
        </w:tblPrEx>
        <w:trPr>
          <w:trHeight w:val="2608"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向入住的老年人收取的保证金或者押金等费用，超过该老年人入住养老机构月服务费用六倍，拒不退还，造成严重不良后果的；超额部分为月服务费6倍以上的；超出范围使用，责令改正，拒不改正，造成严重不良后果。</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责令立即退还超额部分本金，并支付银行同期活期存款利息，拒不退还的，处违法金额2倍以上3倍以下的罚款；超出范围使用的，责令改正，拒不改正的，处违法金额2倍以上3倍以下的罚款。</w:t>
            </w:r>
          </w:p>
        </w:tc>
      </w:tr>
      <w:tr>
        <w:tblPrEx>
          <w:tblLayout w:type="fixed"/>
          <w:tblCellMar>
            <w:top w:w="0" w:type="dxa"/>
            <w:left w:w="108" w:type="dxa"/>
            <w:bottom w:w="0" w:type="dxa"/>
            <w:right w:w="108" w:type="dxa"/>
          </w:tblCellMar>
        </w:tblPrEx>
        <w:trPr>
          <w:trHeight w:val="1314" w:hRule="atLeast"/>
          <w:jc w:val="center"/>
        </w:trPr>
        <w:tc>
          <w:tcPr>
            <w:tcW w:w="6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2</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《重庆市养老机构管理办法》</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对养老机构擅自暂停或者终止服务的处罚</w:t>
            </w:r>
          </w:p>
        </w:tc>
        <w:tc>
          <w:tcPr>
            <w:tcW w:w="52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《重庆市养老机构管理办法》第五十七条 违反本办法规定，养老机构擅自暂停、终止服务，或者暂停、终止服务未妥善安置老年人的，由民政部门责令限期改正;逾期未改正的，处1万元以上3万元以下罚款。</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擅自暂停或者终止服务，造成较小不良后果的。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处1万元以下罚款。</w:t>
            </w:r>
          </w:p>
        </w:tc>
      </w:tr>
      <w:tr>
        <w:tblPrEx>
          <w:tblLayout w:type="fixed"/>
          <w:tblCellMar>
            <w:top w:w="0" w:type="dxa"/>
            <w:left w:w="108" w:type="dxa"/>
            <w:bottom w:w="0" w:type="dxa"/>
            <w:right w:w="108" w:type="dxa"/>
          </w:tblCellMar>
        </w:tblPrEx>
        <w:trPr>
          <w:trHeight w:val="1324" w:hRule="atLeast"/>
          <w:jc w:val="center"/>
        </w:trPr>
        <w:tc>
          <w:tcPr>
            <w:tcW w:w="6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一般</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擅自暂停或者终止服务，虽已妥善安置所服务老年人，但已享受国家相关补贴政策或资金的；造成较大不良后果的。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18"/>
                <w:szCs w:val="18"/>
              </w:rPr>
              <w:t>处1万元以上2万元以下罚款。</w:t>
            </w:r>
          </w:p>
        </w:tc>
      </w:tr>
      <w:tr>
        <w:tblPrEx>
          <w:tblLayout w:type="fixed"/>
          <w:tblCellMar>
            <w:top w:w="0" w:type="dxa"/>
            <w:left w:w="108" w:type="dxa"/>
            <w:bottom w:w="0" w:type="dxa"/>
            <w:right w:w="108" w:type="dxa"/>
          </w:tblCellMar>
        </w:tblPrEx>
        <w:trPr>
          <w:trHeight w:val="1178" w:hRule="atLeast"/>
          <w:jc w:val="center"/>
        </w:trPr>
        <w:tc>
          <w:tcPr>
            <w:tcW w:w="6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擅自暂停或者终止服务，责令改正后拒不改正的；或者未妥善安置所服务老年人的；造成严重不良后果的。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18"/>
                <w:szCs w:val="18"/>
              </w:rPr>
              <w:t>处2万元以上3万元以下罚款。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3</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对养老机构未建立入院评估制度或者未按照规定开展评估活动的处罚</w:t>
            </w:r>
          </w:p>
        </w:tc>
        <w:tc>
          <w:tcPr>
            <w:tcW w:w="52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（一）未建立入院评估制度或者未按照规定开展评估活动的；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未建立入院评估制度或者未按照规定开展评估活动，造成较小不良后果的。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p>
        </w:tc>
      </w:tr>
      <w:tr>
        <w:tblPrEx>
          <w:tblLayout w:type="fixed"/>
          <w:tblCellMar>
            <w:top w:w="0" w:type="dxa"/>
            <w:left w:w="108" w:type="dxa"/>
            <w:bottom w:w="0" w:type="dxa"/>
            <w:right w:w="108" w:type="dxa"/>
          </w:tblCellMar>
        </w:tblPrEx>
        <w:trPr>
          <w:trHeight w:val="1114" w:hRule="atLeast"/>
          <w:jc w:val="center"/>
        </w:trPr>
        <w:tc>
          <w:tcPr>
            <w:tcW w:w="6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7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52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single" w:color="auto" w:sz="4" w:space="0"/>
              <w:left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未建立入院评估制度或者未按照规定开展评估活动，造成较大不良后果的。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责令限期改正，处2万元以下罚款。</w:t>
            </w:r>
          </w:p>
        </w:tc>
      </w:tr>
      <w:tr>
        <w:tblPrEx>
          <w:tblLayout w:type="fixed"/>
          <w:tblCellMar>
            <w:top w:w="0" w:type="dxa"/>
            <w:left w:w="108" w:type="dxa"/>
            <w:bottom w:w="0" w:type="dxa"/>
            <w:right w:w="108" w:type="dxa"/>
          </w:tblCellMar>
        </w:tblPrEx>
        <w:trPr>
          <w:trHeight w:val="1114" w:hRule="atLeast"/>
          <w:jc w:val="center"/>
        </w:trPr>
        <w:tc>
          <w:tcPr>
            <w:tcW w:w="611"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700"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5245"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未建立入院评估制度或者未按照规定开展评估活动，造成严重不良后果的。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20"/>
                <w:szCs w:val="20"/>
              </w:rPr>
              <w:t>责令限期改正，处2万元以上3万元以下罚款。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4</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对养老机构未与老年人或者其代理人签订服务协议，或者协议不符合规定的对养老机构罚</w:t>
            </w:r>
          </w:p>
        </w:tc>
        <w:tc>
          <w:tcPr>
            <w:tcW w:w="52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（二）未与老年人或者其代理人签订服务协议，或者未按照协议约定提供服务的；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(一)未与老年人或者其监护人、代理人签订养老服务合同的。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涉及人数5人以下；造成较小不良后果的。</w:t>
            </w:r>
          </w:p>
        </w:tc>
        <w:tc>
          <w:tcPr>
            <w:tcW w:w="354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涉及人数超过5人以上20人以下；造成较大不良后果的。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责令改正后拒不改正的；涉及人数20人以上的；造成严重不良后果的。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5</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对养老机构未按照国家有关标准和规定开展服务的处罚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（三）未按照有关强制性国家标准提供服务的；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(三)未按照国家有关标准和规定开展服务的。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违反国家有关标准开展服务数量3项以下的；造成较小不良后果的。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违法国家有关标准开展服务数量在3项以上5项以下的；造成较大不良后果的。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责令改正后拒不改正的；违反国家有关标准开展服务数量在5项以上的；造成严重不良后果的。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2830"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6</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对养老机构配备人员的资格不符合规定的处罚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（四）工作人员的资格不符合规定的；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(五)配备人员的资格不符合规定的;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(六)安排未取得健康证明的护理人员、餐饮服务人员上岗工作，或者未及时将患有可能影响老年人身体健康疾病的护理人员、餐饮服务人员调离岗位的。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配备不符合规定的工作人员数量5人以下的；造成较小不良后果的。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262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配备不符合规定的工作人员数量5人以上10人以下的；造成较大不良后果的。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2398"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责令改正后拒不改正的；配备不符合规定的服务人员数量10人以上的；造成严重不良后果的。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1158"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7</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对养老机构利用养老机构的房屋、场地、设施开展与养老服务宗旨无关的活动的处罚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（五）利用养老机构的房屋、场地、设施开展与养老服务宗旨无关的活动的；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(二)利用养老机构的场所、设施、设备，开展与养老服务宗旨无关活动的。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从事与养老服务宗旨无关的活动持续时间3个月以下的；造成较小不良后果的。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1304" w:hRule="atLeast"/>
          <w:jc w:val="center"/>
        </w:trPr>
        <w:tc>
          <w:tcPr>
            <w:tcW w:w="611"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从事与养老服务宗旨无关的活动持续时间在3个月以上6个月以下的；造成较大不良后果的。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1372" w:hRule="atLeast"/>
          <w:jc w:val="center"/>
        </w:trPr>
        <w:tc>
          <w:tcPr>
            <w:tcW w:w="611"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责令改正后拒不改正的；或者从事与养老服务宗旨无关的活动持续时间在6个月以上的；造成严重不良后果的。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1109"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8</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对养老机构未依照本办法规定预防和处置突发事件的处罚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（六）未依照本办法规定预防和处置突发事件的；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未依照《养老机构管理办法》规定预防和处置突发事件，造成较小不良后果的。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p>
        </w:tc>
      </w:tr>
      <w:tr>
        <w:tblPrEx>
          <w:tblLayout w:type="fixed"/>
          <w:tblCellMar>
            <w:top w:w="0" w:type="dxa"/>
            <w:left w:w="108" w:type="dxa"/>
            <w:bottom w:w="0" w:type="dxa"/>
            <w:right w:w="108" w:type="dxa"/>
          </w:tblCellMar>
        </w:tblPrEx>
        <w:trPr>
          <w:trHeight w:val="1129"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single" w:color="auto" w:sz="4" w:space="0"/>
              <w:left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未依照《养老机构管理办法》规定预防和处置突发事件，造成较大不良后果的。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责令限期改正，处以2万元以下罚款。</w:t>
            </w:r>
          </w:p>
        </w:tc>
      </w:tr>
      <w:tr>
        <w:tblPrEx>
          <w:tblLayout w:type="fixed"/>
          <w:tblCellMar>
            <w:top w:w="0" w:type="dxa"/>
            <w:left w:w="108" w:type="dxa"/>
            <w:bottom w:w="0" w:type="dxa"/>
            <w:right w:w="108" w:type="dxa"/>
          </w:tblCellMar>
        </w:tblPrEx>
        <w:trPr>
          <w:trHeight w:val="1144" w:hRule="atLeast"/>
          <w:jc w:val="center"/>
        </w:trPr>
        <w:tc>
          <w:tcPr>
            <w:tcW w:w="611" w:type="dxa"/>
            <w:vMerge w:val="continue"/>
            <w:tcBorders>
              <w:left w:val="single" w:color="auto" w:sz="4" w:space="0"/>
              <w:bottom w:val="single" w:color="auto" w:sz="4" w:space="0"/>
              <w:right w:val="single" w:color="auto" w:sz="4" w:space="0"/>
            </w:tcBorders>
            <w:vAlign w:val="center"/>
          </w:tcPr>
          <w:p>
            <w:pPr>
              <w:widowControl/>
              <w:adjustRightInd w:val="0"/>
              <w:snapToGrid w:val="0"/>
              <w:rPr>
                <w:color w:val="000000" w:themeColor="text1"/>
              </w:rPr>
            </w:pPr>
          </w:p>
        </w:tc>
        <w:tc>
          <w:tcPr>
            <w:tcW w:w="700" w:type="dxa"/>
            <w:vMerge w:val="continue"/>
            <w:tcBorders>
              <w:left w:val="single" w:color="auto" w:sz="4" w:space="0"/>
              <w:bottom w:val="single" w:color="auto" w:sz="4" w:space="0"/>
              <w:right w:val="single" w:color="auto" w:sz="4" w:space="0"/>
            </w:tcBorders>
            <w:vAlign w:val="center"/>
          </w:tcPr>
          <w:p>
            <w:pPr>
              <w:widowControl/>
              <w:adjustRightInd w:val="0"/>
              <w:snapToGrid w:val="0"/>
              <w:rPr>
                <w:color w:val="000000" w:themeColor="text1"/>
              </w:rPr>
            </w:pPr>
          </w:p>
        </w:tc>
        <w:tc>
          <w:tcPr>
            <w:tcW w:w="850" w:type="dxa"/>
            <w:vMerge w:val="continue"/>
            <w:tcBorders>
              <w:left w:val="single" w:color="auto" w:sz="4" w:space="0"/>
              <w:bottom w:val="single" w:color="auto" w:sz="4" w:space="0"/>
              <w:right w:val="single" w:color="auto" w:sz="4" w:space="0"/>
            </w:tcBorders>
            <w:vAlign w:val="center"/>
          </w:tcPr>
          <w:p>
            <w:pPr>
              <w:widowControl/>
              <w:adjustRightInd w:val="0"/>
              <w:snapToGrid w:val="0"/>
              <w:rPr>
                <w:color w:val="000000" w:themeColor="text1"/>
              </w:rPr>
            </w:pPr>
          </w:p>
        </w:tc>
        <w:tc>
          <w:tcPr>
            <w:tcW w:w="1134" w:type="dxa"/>
            <w:vMerge w:val="continue"/>
            <w:tcBorders>
              <w:left w:val="single" w:color="auto" w:sz="4" w:space="0"/>
              <w:bottom w:val="single" w:color="auto" w:sz="4" w:space="0"/>
              <w:right w:val="single" w:color="auto" w:sz="4" w:space="0"/>
            </w:tcBorders>
            <w:vAlign w:val="center"/>
          </w:tcPr>
          <w:p>
            <w:pPr>
              <w:widowControl/>
              <w:adjustRightInd w:val="0"/>
              <w:snapToGrid w:val="0"/>
              <w:rPr>
                <w:color w:val="000000" w:themeColor="text1"/>
              </w:rPr>
            </w:pPr>
          </w:p>
        </w:tc>
        <w:tc>
          <w:tcPr>
            <w:tcW w:w="5245" w:type="dxa"/>
            <w:vMerge w:val="continue"/>
            <w:tcBorders>
              <w:left w:val="single" w:color="auto" w:sz="4" w:space="0"/>
              <w:bottom w:val="single" w:color="auto" w:sz="4" w:space="0"/>
              <w:right w:val="single" w:color="auto" w:sz="4" w:space="0"/>
            </w:tcBorders>
            <w:vAlign w:val="center"/>
          </w:tcPr>
          <w:p>
            <w:pPr>
              <w:widowControl/>
              <w:adjustRightInd w:val="0"/>
              <w:snapToGrid w:val="0"/>
              <w:rPr>
                <w:color w:val="000000" w:themeColor="text1"/>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pPr>
              <w:widowControl/>
              <w:adjustRightInd w:val="0"/>
              <w:snapToGrid w:val="0"/>
              <w:rPr>
                <w:color w:val="000000" w:themeColor="text1"/>
              </w:rPr>
            </w:pP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未依照《养老机构管理办法》规定预防和处置突发事件，造成严重不良后果的。</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2324"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9</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对养老机构歧视、侮辱、虐待或遗弃老年人以及其他侵犯老年人合法权益行为的处罚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（七）歧视、侮辱、虐待老年人以及其他侵害老年人人身和财产权益行为的；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 xml:space="preserve">《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(七)歧视、侮辱、虐待或者遗弃老年人以及其他侵犯老年人合法权益行为的。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侵害老年人合法权益，造成较小不良后果的。</w:t>
            </w:r>
          </w:p>
        </w:tc>
        <w:tc>
          <w:tcPr>
            <w:tcW w:w="3544" w:type="dxa"/>
            <w:tcBorders>
              <w:top w:val="single" w:color="auto" w:sz="4" w:space="0"/>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2024"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侵害老年人合法权益，造成服务对象财产损失500元以下或身体轻微伤的；造成较大不良后果的。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2480" w:hRule="atLeast"/>
          <w:jc w:val="center"/>
        </w:trPr>
        <w:tc>
          <w:tcPr>
            <w:tcW w:w="611"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责令改正后拒不改正的；或者侵害老年人合法权益，造成服务对象财产损失500元以上或身体轻度以上伤害的；造成严重不良后果的。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1312" w:hRule="atLeast"/>
          <w:jc w:val="center"/>
        </w:trPr>
        <w:tc>
          <w:tcPr>
            <w:tcW w:w="611"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10</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对养老机构向负责监督检查的民政部门隐瞒有关情况、提供虚假材料或者拒绝提供反映其活动情况真实材料的处罚</w:t>
            </w:r>
          </w:p>
        </w:tc>
        <w:tc>
          <w:tcPr>
            <w:tcW w:w="5245"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（八）向负责监督检查的民政部门隐瞒有关情况、提供虚假材料或者拒绝提供反映其活动情况真实材料的；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br w:type="page"/>
            </w: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（四）向民政部门隐瞒有关情况、提供虚假材料或者拒绝提供反映其活动情况真实材料的。</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                                                                                                                                                                                                                                                                                                                                                                                                                                                                                                                                                                                                                                                                                                                                                                                                                                                                                                                                                                                                                                                                                                                                                                                                                                                                                                                                                                                                                                                                                                                                                                                                                                                                                                                                                                                                                                                                                                                                                                                                                                                                                                                                                                                                                                                                                                                                                                                                                                                 </w:t>
            </w:r>
          </w:p>
        </w:tc>
        <w:tc>
          <w:tcPr>
            <w:tcW w:w="1134" w:type="dxa"/>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轻微</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隐瞒有关情况、提供虚假材料或者拒绝提供反映其活动情况真实材料，造成较小不良后果的。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责令限期改正，警告；</w:t>
            </w:r>
            <w:r>
              <w:rPr>
                <w:rFonts w:hint="eastAsia" w:ascii="宋体" w:hAnsi="宋体" w:eastAsia="宋体" w:cs="宋体"/>
                <w:color w:val="000000" w:themeColor="text1"/>
                <w:kern w:val="0"/>
                <w:sz w:val="18"/>
                <w:szCs w:val="18"/>
              </w:rPr>
              <w:t>逾期未改正的，</w:t>
            </w:r>
            <w:r>
              <w:rPr>
                <w:rFonts w:hint="eastAsia" w:ascii="宋体" w:hAnsi="宋体" w:eastAsia="宋体" w:cs="宋体"/>
                <w:color w:val="000000" w:themeColor="text1"/>
                <w:kern w:val="0"/>
                <w:sz w:val="20"/>
                <w:szCs w:val="20"/>
              </w:rPr>
              <w:t>处以2000元以上1万元以下罚款。</w:t>
            </w:r>
          </w:p>
        </w:tc>
      </w:tr>
      <w:tr>
        <w:tblPrEx>
          <w:tblLayout w:type="fixed"/>
          <w:tblCellMar>
            <w:top w:w="0" w:type="dxa"/>
            <w:left w:w="108" w:type="dxa"/>
            <w:bottom w:w="0" w:type="dxa"/>
            <w:right w:w="108" w:type="dxa"/>
          </w:tblCellMar>
        </w:tblPrEx>
        <w:trPr>
          <w:trHeight w:val="1520" w:hRule="atLeast"/>
          <w:jc w:val="center"/>
        </w:trPr>
        <w:tc>
          <w:tcPr>
            <w:tcW w:w="611"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restart"/>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严重</w:t>
            </w: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隐瞒有关情况、提供虚假材料或者拒绝提供反映其活动情况真实材料，涉嫌骗取国家有关补助政策或资金的；造成较大不良后果的。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责令限期改正，处以1万元以上2万元以下罚款。</w:t>
            </w:r>
          </w:p>
        </w:tc>
      </w:tr>
      <w:tr>
        <w:tblPrEx>
          <w:tblLayout w:type="fixed"/>
          <w:tblCellMar>
            <w:top w:w="0" w:type="dxa"/>
            <w:left w:w="108" w:type="dxa"/>
            <w:bottom w:w="0" w:type="dxa"/>
            <w:right w:w="108" w:type="dxa"/>
          </w:tblCellMar>
        </w:tblPrEx>
        <w:trPr>
          <w:trHeight w:val="1567" w:hRule="atLeast"/>
          <w:jc w:val="center"/>
        </w:trPr>
        <w:tc>
          <w:tcPr>
            <w:tcW w:w="611"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70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850"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1134"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p>
        </w:tc>
        <w:tc>
          <w:tcPr>
            <w:tcW w:w="5245" w:type="dxa"/>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p>
        </w:tc>
        <w:tc>
          <w:tcPr>
            <w:tcW w:w="1134" w:type="dxa"/>
            <w:vMerge w:val="continue"/>
            <w:tcBorders>
              <w:top w:val="nil"/>
              <w:left w:val="nil"/>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nil"/>
              <w:left w:val="nil"/>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隐瞒有关情况、提供虚假材料或者拒绝提供反映其活动情况真实材料，责令改正后拒不改正的；侵犯老年人合法权益的；造成严重不良后果的。</w:t>
            </w:r>
          </w:p>
        </w:tc>
        <w:tc>
          <w:tcPr>
            <w:tcW w:w="3544" w:type="dxa"/>
            <w:tcBorders>
              <w:top w:val="nil"/>
              <w:left w:val="nil"/>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20"/>
                <w:szCs w:val="20"/>
              </w:rPr>
              <w:t>责令限期改正，处以2万元以上3万元以下罚款。</w:t>
            </w:r>
          </w:p>
        </w:tc>
      </w:tr>
      <w:tr>
        <w:tblPrEx>
          <w:tblLayout w:type="fixed"/>
          <w:tblCellMar>
            <w:top w:w="0" w:type="dxa"/>
            <w:left w:w="108" w:type="dxa"/>
            <w:bottom w:w="0" w:type="dxa"/>
            <w:right w:w="108" w:type="dxa"/>
          </w:tblCellMar>
        </w:tblPrEx>
        <w:trPr>
          <w:trHeight w:val="3381" w:hRule="atLeast"/>
          <w:jc w:val="center"/>
        </w:trPr>
        <w:tc>
          <w:tcPr>
            <w:tcW w:w="6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11</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养老管理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《养老机构管理办法》《重庆市养老机构管理办法》</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对养老机构违反法律、法规、规章规定的其他行为的处罚。</w:t>
            </w:r>
          </w:p>
        </w:tc>
        <w:tc>
          <w:tcPr>
            <w:tcW w:w="52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《养老机构管理办法》第四十六条 养老机构有下列行为之一的，由民政部门责令改正，给予警告；情节严重的，处以3万元以下的罚款：</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（九）法律、法规、规章规定的其他违法行为。</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重庆市养老机构管理办法》第五十八条违反本办法规定，养老机构有下列行为之一的，由民政部门责令限期改正;逾期未改正的，处2千元以上1万元以下罚款;情节严重的，处1万元以上3万元以下罚款;涉嫌犯罪的，移送司法机关依法追究刑事责任：</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 xml:space="preserve"> ……</w:t>
            </w:r>
          </w:p>
          <w:p>
            <w:pPr>
              <w:widowControl/>
              <w:adjustRightInd w:val="0"/>
              <w:snapToGrid w:val="0"/>
              <w:ind w:firstLine="360" w:firstLineChars="20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(八)法律、法规规定的其他违法行为。</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宋体" w:hAnsi="宋体" w:eastAsia="宋体" w:cs="宋体"/>
                <w:color w:val="000000" w:themeColor="text1"/>
                <w:kern w:val="0"/>
                <w:sz w:val="18"/>
                <w:szCs w:val="18"/>
              </w:rPr>
            </w:pPr>
          </w:p>
        </w:tc>
        <w:tc>
          <w:tcPr>
            <w:tcW w:w="21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rPr>
                <w:rFonts w:ascii="宋体" w:hAnsi="宋体" w:eastAsia="宋体" w:cs="宋体"/>
                <w:color w:val="000000" w:themeColor="text1"/>
                <w:kern w:val="0"/>
                <w:sz w:val="18"/>
                <w:szCs w:val="18"/>
              </w:rPr>
            </w:pPr>
            <w:r>
              <w:rPr>
                <w:rFonts w:hint="eastAsia" w:ascii="宋体" w:hAnsi="宋体" w:eastAsia="宋体" w:cs="宋体"/>
                <w:color w:val="000000" w:themeColor="text1"/>
                <w:kern w:val="0"/>
                <w:sz w:val="18"/>
                <w:szCs w:val="18"/>
              </w:rPr>
              <w:t>法律、法规、规章规定的其他违法情形。</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宋体" w:hAnsi="宋体" w:eastAsia="宋体" w:cs="宋体"/>
                <w:color w:val="000000" w:themeColor="text1"/>
                <w:kern w:val="0"/>
                <w:sz w:val="20"/>
                <w:szCs w:val="20"/>
              </w:rPr>
            </w:pPr>
            <w:r>
              <w:rPr>
                <w:rFonts w:hint="eastAsia" w:ascii="宋体" w:hAnsi="宋体" w:eastAsia="宋体" w:cs="宋体"/>
                <w:color w:val="000000" w:themeColor="text1"/>
                <w:kern w:val="0"/>
                <w:sz w:val="18"/>
                <w:szCs w:val="18"/>
              </w:rPr>
              <w:t>责令</w:t>
            </w:r>
            <w:r>
              <w:rPr>
                <w:rFonts w:hint="eastAsia" w:ascii="宋体" w:hAnsi="宋体" w:eastAsia="宋体" w:cs="宋体"/>
                <w:color w:val="000000" w:themeColor="text1"/>
                <w:kern w:val="0"/>
                <w:sz w:val="20"/>
                <w:szCs w:val="20"/>
              </w:rPr>
              <w:t>限期</w:t>
            </w:r>
            <w:r>
              <w:rPr>
                <w:rFonts w:hint="eastAsia" w:ascii="宋体" w:hAnsi="宋体" w:eastAsia="宋体" w:cs="宋体"/>
                <w:color w:val="000000" w:themeColor="text1"/>
                <w:kern w:val="0"/>
                <w:sz w:val="18"/>
                <w:szCs w:val="18"/>
              </w:rPr>
              <w:t>改正，警告；处以3万元以下的罚款。</w:t>
            </w:r>
          </w:p>
        </w:tc>
      </w:tr>
    </w:tbl>
    <w:p>
      <w:pPr>
        <w:sectPr>
          <w:footerReference r:id="rId3" w:type="default"/>
          <w:footerReference r:id="rId4" w:type="even"/>
          <w:pgSz w:w="16838" w:h="11906" w:orient="landscape"/>
          <w:pgMar w:top="1588" w:right="2098" w:bottom="1474" w:left="1418" w:header="851" w:footer="992" w:gutter="0"/>
          <w:cols w:space="425" w:num="1"/>
          <w:docGrid w:type="lines" w:linePitch="312" w:charSpace="0"/>
        </w:sectPr>
      </w:pPr>
    </w:p>
    <w:p>
      <w:pPr>
        <w:snapToGrid w:val="0"/>
        <w:spacing w:line="579" w:lineRule="exact"/>
        <w:ind w:firstLine="3360" w:firstLineChars="1600"/>
      </w:pPr>
    </w:p>
    <w:sectPr>
      <w:headerReference r:id="rId5" w:type="default"/>
      <w:footerReference r:id="rId7" w:type="default"/>
      <w:headerReference r:id="rId6" w:type="even"/>
      <w:footerReference r:id="rId8" w:type="even"/>
      <w:pgSz w:w="16838" w:h="11906" w:orient="landscape"/>
      <w:pgMar w:top="1588" w:right="2098" w:bottom="1474" w:left="1985"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7</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F1E22"/>
    <w:rsid w:val="00003F8F"/>
    <w:rsid w:val="000B15E9"/>
    <w:rsid w:val="000C539C"/>
    <w:rsid w:val="000F5021"/>
    <w:rsid w:val="00193711"/>
    <w:rsid w:val="001E659E"/>
    <w:rsid w:val="00255C87"/>
    <w:rsid w:val="0030463C"/>
    <w:rsid w:val="0031503D"/>
    <w:rsid w:val="00387697"/>
    <w:rsid w:val="00394136"/>
    <w:rsid w:val="003C2374"/>
    <w:rsid w:val="003F3A13"/>
    <w:rsid w:val="00441647"/>
    <w:rsid w:val="00474C30"/>
    <w:rsid w:val="004E3A4D"/>
    <w:rsid w:val="005145C4"/>
    <w:rsid w:val="00516449"/>
    <w:rsid w:val="00526386"/>
    <w:rsid w:val="0057528D"/>
    <w:rsid w:val="00593216"/>
    <w:rsid w:val="005B75AE"/>
    <w:rsid w:val="005E02DA"/>
    <w:rsid w:val="005E39B2"/>
    <w:rsid w:val="005E4A77"/>
    <w:rsid w:val="00612370"/>
    <w:rsid w:val="006928C6"/>
    <w:rsid w:val="00695B4C"/>
    <w:rsid w:val="006B0931"/>
    <w:rsid w:val="006C0A12"/>
    <w:rsid w:val="00796212"/>
    <w:rsid w:val="00900C8D"/>
    <w:rsid w:val="00A35428"/>
    <w:rsid w:val="00A36C66"/>
    <w:rsid w:val="00A51F98"/>
    <w:rsid w:val="00A65542"/>
    <w:rsid w:val="00A718B6"/>
    <w:rsid w:val="00AD7B60"/>
    <w:rsid w:val="00AE33CE"/>
    <w:rsid w:val="00B135A6"/>
    <w:rsid w:val="00B2759C"/>
    <w:rsid w:val="00B97832"/>
    <w:rsid w:val="00C17C75"/>
    <w:rsid w:val="00C3209D"/>
    <w:rsid w:val="00C738F3"/>
    <w:rsid w:val="00CB0D0C"/>
    <w:rsid w:val="00CC7475"/>
    <w:rsid w:val="00CE7FAA"/>
    <w:rsid w:val="00CF391A"/>
    <w:rsid w:val="00D35019"/>
    <w:rsid w:val="00D3610D"/>
    <w:rsid w:val="00D711B8"/>
    <w:rsid w:val="00D711D8"/>
    <w:rsid w:val="00DA3701"/>
    <w:rsid w:val="00DA79DB"/>
    <w:rsid w:val="00DC1A17"/>
    <w:rsid w:val="00DC2E1A"/>
    <w:rsid w:val="00DE328C"/>
    <w:rsid w:val="00DF1E22"/>
    <w:rsid w:val="00E11D3A"/>
    <w:rsid w:val="00E31F9B"/>
    <w:rsid w:val="00E62060"/>
    <w:rsid w:val="00E93AEB"/>
    <w:rsid w:val="00F350DC"/>
    <w:rsid w:val="00F42B5E"/>
    <w:rsid w:val="00FA6BA8"/>
    <w:rsid w:val="011A1262"/>
    <w:rsid w:val="012450C6"/>
    <w:rsid w:val="01624655"/>
    <w:rsid w:val="01667626"/>
    <w:rsid w:val="016A78B6"/>
    <w:rsid w:val="01906F44"/>
    <w:rsid w:val="01A70C34"/>
    <w:rsid w:val="01BF14A1"/>
    <w:rsid w:val="01FB2509"/>
    <w:rsid w:val="024C5E21"/>
    <w:rsid w:val="02725BBA"/>
    <w:rsid w:val="028E395E"/>
    <w:rsid w:val="02931877"/>
    <w:rsid w:val="02A22D95"/>
    <w:rsid w:val="030D5926"/>
    <w:rsid w:val="0314241F"/>
    <w:rsid w:val="037452A8"/>
    <w:rsid w:val="03F11651"/>
    <w:rsid w:val="03FA1360"/>
    <w:rsid w:val="04010E71"/>
    <w:rsid w:val="04111646"/>
    <w:rsid w:val="042A5518"/>
    <w:rsid w:val="04C16BB6"/>
    <w:rsid w:val="04CB77D5"/>
    <w:rsid w:val="05225A21"/>
    <w:rsid w:val="0531480B"/>
    <w:rsid w:val="05615642"/>
    <w:rsid w:val="05B26531"/>
    <w:rsid w:val="05C609BE"/>
    <w:rsid w:val="05C8332A"/>
    <w:rsid w:val="06A3297F"/>
    <w:rsid w:val="06B67850"/>
    <w:rsid w:val="06B82F8E"/>
    <w:rsid w:val="070413AF"/>
    <w:rsid w:val="07552D05"/>
    <w:rsid w:val="07942FAF"/>
    <w:rsid w:val="07A224E2"/>
    <w:rsid w:val="0814092C"/>
    <w:rsid w:val="08934E15"/>
    <w:rsid w:val="08D80DBA"/>
    <w:rsid w:val="08E36064"/>
    <w:rsid w:val="08EE52FC"/>
    <w:rsid w:val="094E04F5"/>
    <w:rsid w:val="09537BC6"/>
    <w:rsid w:val="09644C34"/>
    <w:rsid w:val="096D4713"/>
    <w:rsid w:val="09845C7D"/>
    <w:rsid w:val="098C1B2E"/>
    <w:rsid w:val="09A927EE"/>
    <w:rsid w:val="0A3D680D"/>
    <w:rsid w:val="0A6651C8"/>
    <w:rsid w:val="0A747D2C"/>
    <w:rsid w:val="0A91694A"/>
    <w:rsid w:val="0B4266FA"/>
    <w:rsid w:val="0B970960"/>
    <w:rsid w:val="0BD72336"/>
    <w:rsid w:val="0C255C77"/>
    <w:rsid w:val="0C44759B"/>
    <w:rsid w:val="0C545842"/>
    <w:rsid w:val="0CA322BA"/>
    <w:rsid w:val="0CCB0209"/>
    <w:rsid w:val="0CD96BE2"/>
    <w:rsid w:val="0CEB5661"/>
    <w:rsid w:val="0D6E391C"/>
    <w:rsid w:val="0DE41926"/>
    <w:rsid w:val="0E072C0B"/>
    <w:rsid w:val="0E0B4A7D"/>
    <w:rsid w:val="0E1A0F15"/>
    <w:rsid w:val="0E60080B"/>
    <w:rsid w:val="0EC9757A"/>
    <w:rsid w:val="0EE821D1"/>
    <w:rsid w:val="0EED7DC7"/>
    <w:rsid w:val="0F683890"/>
    <w:rsid w:val="0F803123"/>
    <w:rsid w:val="0F9D0477"/>
    <w:rsid w:val="0FC72E84"/>
    <w:rsid w:val="0FD75BC8"/>
    <w:rsid w:val="100454DB"/>
    <w:rsid w:val="10056031"/>
    <w:rsid w:val="100B7D46"/>
    <w:rsid w:val="10175FBE"/>
    <w:rsid w:val="11410C24"/>
    <w:rsid w:val="1170355D"/>
    <w:rsid w:val="11857562"/>
    <w:rsid w:val="11865E88"/>
    <w:rsid w:val="119F21C3"/>
    <w:rsid w:val="1223748D"/>
    <w:rsid w:val="12391AFD"/>
    <w:rsid w:val="125643C6"/>
    <w:rsid w:val="12615BC0"/>
    <w:rsid w:val="127B44F2"/>
    <w:rsid w:val="127C30CD"/>
    <w:rsid w:val="12D13060"/>
    <w:rsid w:val="12E92CC2"/>
    <w:rsid w:val="13083779"/>
    <w:rsid w:val="130B747C"/>
    <w:rsid w:val="13233407"/>
    <w:rsid w:val="13586B8B"/>
    <w:rsid w:val="137C4F3B"/>
    <w:rsid w:val="13B1718C"/>
    <w:rsid w:val="13B92A17"/>
    <w:rsid w:val="13EE7B4C"/>
    <w:rsid w:val="14233F31"/>
    <w:rsid w:val="1457789E"/>
    <w:rsid w:val="146B5110"/>
    <w:rsid w:val="147228AB"/>
    <w:rsid w:val="14B35233"/>
    <w:rsid w:val="14D47D60"/>
    <w:rsid w:val="15262BA4"/>
    <w:rsid w:val="152E66C1"/>
    <w:rsid w:val="15387374"/>
    <w:rsid w:val="156B509C"/>
    <w:rsid w:val="1588415D"/>
    <w:rsid w:val="158D07A7"/>
    <w:rsid w:val="15A87741"/>
    <w:rsid w:val="15AE56B5"/>
    <w:rsid w:val="15C95735"/>
    <w:rsid w:val="162D334A"/>
    <w:rsid w:val="163D4202"/>
    <w:rsid w:val="1649337A"/>
    <w:rsid w:val="166451F0"/>
    <w:rsid w:val="16832CA2"/>
    <w:rsid w:val="16B60D1A"/>
    <w:rsid w:val="16C73EDA"/>
    <w:rsid w:val="16DB4530"/>
    <w:rsid w:val="17155C04"/>
    <w:rsid w:val="173D165B"/>
    <w:rsid w:val="17513126"/>
    <w:rsid w:val="175944FB"/>
    <w:rsid w:val="17807B87"/>
    <w:rsid w:val="17824C05"/>
    <w:rsid w:val="17850490"/>
    <w:rsid w:val="17C16CF6"/>
    <w:rsid w:val="17CA48C3"/>
    <w:rsid w:val="17DE29F0"/>
    <w:rsid w:val="17EE26F8"/>
    <w:rsid w:val="184B5361"/>
    <w:rsid w:val="185B07F8"/>
    <w:rsid w:val="189077AA"/>
    <w:rsid w:val="18990FE5"/>
    <w:rsid w:val="18D231CC"/>
    <w:rsid w:val="18E177EC"/>
    <w:rsid w:val="18E563B3"/>
    <w:rsid w:val="197443AE"/>
    <w:rsid w:val="199D35E8"/>
    <w:rsid w:val="19A71B9A"/>
    <w:rsid w:val="19A94295"/>
    <w:rsid w:val="19B05F1D"/>
    <w:rsid w:val="19C91570"/>
    <w:rsid w:val="19CC5D5F"/>
    <w:rsid w:val="19D526CC"/>
    <w:rsid w:val="1A0508F3"/>
    <w:rsid w:val="1A220DCB"/>
    <w:rsid w:val="1A2A3814"/>
    <w:rsid w:val="1A3E5AE0"/>
    <w:rsid w:val="1A4314AB"/>
    <w:rsid w:val="1A52739A"/>
    <w:rsid w:val="1A810357"/>
    <w:rsid w:val="1A9C319D"/>
    <w:rsid w:val="1AAD30AF"/>
    <w:rsid w:val="1AF24475"/>
    <w:rsid w:val="1B0B6CDD"/>
    <w:rsid w:val="1B7871E0"/>
    <w:rsid w:val="1B7C1EFA"/>
    <w:rsid w:val="1BDD6924"/>
    <w:rsid w:val="1C06200B"/>
    <w:rsid w:val="1C4E4667"/>
    <w:rsid w:val="1CA505AA"/>
    <w:rsid w:val="1CC0201F"/>
    <w:rsid w:val="1CD16BAD"/>
    <w:rsid w:val="1CF8115A"/>
    <w:rsid w:val="1D496075"/>
    <w:rsid w:val="1DAA3A7B"/>
    <w:rsid w:val="1E014C9C"/>
    <w:rsid w:val="1E1E2A28"/>
    <w:rsid w:val="1E6220CB"/>
    <w:rsid w:val="1EFF3817"/>
    <w:rsid w:val="1F4B2F7B"/>
    <w:rsid w:val="1F7920F6"/>
    <w:rsid w:val="1FB369D9"/>
    <w:rsid w:val="1FCB28C6"/>
    <w:rsid w:val="204F451F"/>
    <w:rsid w:val="20630165"/>
    <w:rsid w:val="206C1BF2"/>
    <w:rsid w:val="20717C90"/>
    <w:rsid w:val="208C1E50"/>
    <w:rsid w:val="208C47E2"/>
    <w:rsid w:val="21010058"/>
    <w:rsid w:val="21372A02"/>
    <w:rsid w:val="214A2B55"/>
    <w:rsid w:val="21682551"/>
    <w:rsid w:val="218B78BD"/>
    <w:rsid w:val="21C73427"/>
    <w:rsid w:val="221012E2"/>
    <w:rsid w:val="22416D63"/>
    <w:rsid w:val="227A3F74"/>
    <w:rsid w:val="22B408F2"/>
    <w:rsid w:val="22C45235"/>
    <w:rsid w:val="22EF216E"/>
    <w:rsid w:val="22FA2257"/>
    <w:rsid w:val="23256CD3"/>
    <w:rsid w:val="234A7C23"/>
    <w:rsid w:val="242F5638"/>
    <w:rsid w:val="24586819"/>
    <w:rsid w:val="247D3B00"/>
    <w:rsid w:val="24B76776"/>
    <w:rsid w:val="24BE66AA"/>
    <w:rsid w:val="24CB4BD1"/>
    <w:rsid w:val="24D23E31"/>
    <w:rsid w:val="25235833"/>
    <w:rsid w:val="254E0EEE"/>
    <w:rsid w:val="25925590"/>
    <w:rsid w:val="25CF438D"/>
    <w:rsid w:val="25E77CE6"/>
    <w:rsid w:val="261F200C"/>
    <w:rsid w:val="2642016B"/>
    <w:rsid w:val="2659480B"/>
    <w:rsid w:val="26841BAC"/>
    <w:rsid w:val="26D3417F"/>
    <w:rsid w:val="272C410F"/>
    <w:rsid w:val="27396E6B"/>
    <w:rsid w:val="27CA41B9"/>
    <w:rsid w:val="283F7234"/>
    <w:rsid w:val="284935C8"/>
    <w:rsid w:val="285C576F"/>
    <w:rsid w:val="28A6366E"/>
    <w:rsid w:val="28C51B0F"/>
    <w:rsid w:val="2923227B"/>
    <w:rsid w:val="293152E4"/>
    <w:rsid w:val="295A7C5C"/>
    <w:rsid w:val="29A42E68"/>
    <w:rsid w:val="29AF78C9"/>
    <w:rsid w:val="2A16400D"/>
    <w:rsid w:val="2A894551"/>
    <w:rsid w:val="2AA577B7"/>
    <w:rsid w:val="2AC51565"/>
    <w:rsid w:val="2ACF2967"/>
    <w:rsid w:val="2AE413CB"/>
    <w:rsid w:val="2B1C33F5"/>
    <w:rsid w:val="2B4F1577"/>
    <w:rsid w:val="2B844F3A"/>
    <w:rsid w:val="2BA92B74"/>
    <w:rsid w:val="2BF26E1C"/>
    <w:rsid w:val="2BF9669A"/>
    <w:rsid w:val="2C000073"/>
    <w:rsid w:val="2C0A7A6A"/>
    <w:rsid w:val="2C5A3FC7"/>
    <w:rsid w:val="2CAD1F3D"/>
    <w:rsid w:val="2CC31718"/>
    <w:rsid w:val="2CC72ACB"/>
    <w:rsid w:val="2CCA7B99"/>
    <w:rsid w:val="2CCC3971"/>
    <w:rsid w:val="2CF434AE"/>
    <w:rsid w:val="2D124CD1"/>
    <w:rsid w:val="2D3B4B88"/>
    <w:rsid w:val="2D3E10B2"/>
    <w:rsid w:val="2D872F8B"/>
    <w:rsid w:val="2D8A352B"/>
    <w:rsid w:val="2DF50BC0"/>
    <w:rsid w:val="2E01476B"/>
    <w:rsid w:val="2E2522A7"/>
    <w:rsid w:val="2E336E2D"/>
    <w:rsid w:val="2E51328A"/>
    <w:rsid w:val="2EAA04BB"/>
    <w:rsid w:val="2ECB4E4C"/>
    <w:rsid w:val="2EE758A8"/>
    <w:rsid w:val="2EEC77BC"/>
    <w:rsid w:val="2EED3550"/>
    <w:rsid w:val="2EFB4915"/>
    <w:rsid w:val="2F2A2A5F"/>
    <w:rsid w:val="2F6E2CD7"/>
    <w:rsid w:val="2FA145AF"/>
    <w:rsid w:val="3003417C"/>
    <w:rsid w:val="30381268"/>
    <w:rsid w:val="303E731A"/>
    <w:rsid w:val="30745731"/>
    <w:rsid w:val="308927F1"/>
    <w:rsid w:val="30C12149"/>
    <w:rsid w:val="30FE3603"/>
    <w:rsid w:val="312C3E1C"/>
    <w:rsid w:val="319068A5"/>
    <w:rsid w:val="31917CA5"/>
    <w:rsid w:val="31AA5593"/>
    <w:rsid w:val="31B952D5"/>
    <w:rsid w:val="31E40839"/>
    <w:rsid w:val="324A107E"/>
    <w:rsid w:val="324F1498"/>
    <w:rsid w:val="325D60F0"/>
    <w:rsid w:val="32766C6E"/>
    <w:rsid w:val="32920B6A"/>
    <w:rsid w:val="329674CA"/>
    <w:rsid w:val="32F1279E"/>
    <w:rsid w:val="32FF28BF"/>
    <w:rsid w:val="335D4B39"/>
    <w:rsid w:val="33B401F3"/>
    <w:rsid w:val="33D21251"/>
    <w:rsid w:val="340D561B"/>
    <w:rsid w:val="342A5528"/>
    <w:rsid w:val="343E0559"/>
    <w:rsid w:val="34A11BCD"/>
    <w:rsid w:val="34A926EC"/>
    <w:rsid w:val="350B08EC"/>
    <w:rsid w:val="351C0280"/>
    <w:rsid w:val="3533317F"/>
    <w:rsid w:val="35421643"/>
    <w:rsid w:val="35543135"/>
    <w:rsid w:val="359532B0"/>
    <w:rsid w:val="35FA0711"/>
    <w:rsid w:val="3624546D"/>
    <w:rsid w:val="36420AE7"/>
    <w:rsid w:val="369D2831"/>
    <w:rsid w:val="36B538E4"/>
    <w:rsid w:val="36EE098C"/>
    <w:rsid w:val="371A7177"/>
    <w:rsid w:val="373B1D0E"/>
    <w:rsid w:val="378025E8"/>
    <w:rsid w:val="37BE433C"/>
    <w:rsid w:val="37C21EFA"/>
    <w:rsid w:val="37CA1689"/>
    <w:rsid w:val="37FA3E32"/>
    <w:rsid w:val="38114659"/>
    <w:rsid w:val="384B6B3B"/>
    <w:rsid w:val="39163C4E"/>
    <w:rsid w:val="393700DA"/>
    <w:rsid w:val="39903246"/>
    <w:rsid w:val="39C42F3A"/>
    <w:rsid w:val="3A25242E"/>
    <w:rsid w:val="3A407E61"/>
    <w:rsid w:val="3A6E520C"/>
    <w:rsid w:val="3A804A1C"/>
    <w:rsid w:val="3A90026A"/>
    <w:rsid w:val="3AC63D31"/>
    <w:rsid w:val="3ADE3806"/>
    <w:rsid w:val="3AEC476F"/>
    <w:rsid w:val="3B287CDB"/>
    <w:rsid w:val="3B587C6A"/>
    <w:rsid w:val="3B6A68E3"/>
    <w:rsid w:val="3B74075D"/>
    <w:rsid w:val="3B9E0840"/>
    <w:rsid w:val="3BD80675"/>
    <w:rsid w:val="3BE616B4"/>
    <w:rsid w:val="3C064C6B"/>
    <w:rsid w:val="3C142F68"/>
    <w:rsid w:val="3C6253A7"/>
    <w:rsid w:val="3CB045ED"/>
    <w:rsid w:val="3CEF49F0"/>
    <w:rsid w:val="3CF27572"/>
    <w:rsid w:val="3D573C22"/>
    <w:rsid w:val="3EB51B7C"/>
    <w:rsid w:val="3F180588"/>
    <w:rsid w:val="3F2823E8"/>
    <w:rsid w:val="3FAC3136"/>
    <w:rsid w:val="4014763D"/>
    <w:rsid w:val="403B7413"/>
    <w:rsid w:val="404B7A6B"/>
    <w:rsid w:val="40646DCE"/>
    <w:rsid w:val="407253C0"/>
    <w:rsid w:val="409202C5"/>
    <w:rsid w:val="40B12970"/>
    <w:rsid w:val="40DF053D"/>
    <w:rsid w:val="40DF269C"/>
    <w:rsid w:val="411325ED"/>
    <w:rsid w:val="41274184"/>
    <w:rsid w:val="4141729F"/>
    <w:rsid w:val="41553855"/>
    <w:rsid w:val="415E6043"/>
    <w:rsid w:val="4195799A"/>
    <w:rsid w:val="41B26A34"/>
    <w:rsid w:val="42257C49"/>
    <w:rsid w:val="423B2666"/>
    <w:rsid w:val="424A3A2D"/>
    <w:rsid w:val="42901151"/>
    <w:rsid w:val="42D81CD0"/>
    <w:rsid w:val="42E862BB"/>
    <w:rsid w:val="43090954"/>
    <w:rsid w:val="431E41BD"/>
    <w:rsid w:val="434D50C3"/>
    <w:rsid w:val="43541471"/>
    <w:rsid w:val="43555A15"/>
    <w:rsid w:val="43821F71"/>
    <w:rsid w:val="43A25BBF"/>
    <w:rsid w:val="43BE6F25"/>
    <w:rsid w:val="43CF556D"/>
    <w:rsid w:val="440D392D"/>
    <w:rsid w:val="444D08F2"/>
    <w:rsid w:val="444D1972"/>
    <w:rsid w:val="44666F35"/>
    <w:rsid w:val="447B2313"/>
    <w:rsid w:val="44CA2ED0"/>
    <w:rsid w:val="44EB4B64"/>
    <w:rsid w:val="44F3134A"/>
    <w:rsid w:val="44FF2D9E"/>
    <w:rsid w:val="45797D3D"/>
    <w:rsid w:val="45E22838"/>
    <w:rsid w:val="45E942CC"/>
    <w:rsid w:val="46210D46"/>
    <w:rsid w:val="46227D8A"/>
    <w:rsid w:val="46257E19"/>
    <w:rsid w:val="46412FF5"/>
    <w:rsid w:val="465322B6"/>
    <w:rsid w:val="468A389E"/>
    <w:rsid w:val="46BB7659"/>
    <w:rsid w:val="46F22A2C"/>
    <w:rsid w:val="47642E0C"/>
    <w:rsid w:val="4770480D"/>
    <w:rsid w:val="47962F6C"/>
    <w:rsid w:val="479C2E6C"/>
    <w:rsid w:val="47C93E5B"/>
    <w:rsid w:val="483E0856"/>
    <w:rsid w:val="4840175A"/>
    <w:rsid w:val="48A03D84"/>
    <w:rsid w:val="48A67318"/>
    <w:rsid w:val="48E20C98"/>
    <w:rsid w:val="490F056E"/>
    <w:rsid w:val="49204152"/>
    <w:rsid w:val="492D54B1"/>
    <w:rsid w:val="497B3A96"/>
    <w:rsid w:val="49C31AA0"/>
    <w:rsid w:val="4A00080C"/>
    <w:rsid w:val="4A115259"/>
    <w:rsid w:val="4A365B6F"/>
    <w:rsid w:val="4A511560"/>
    <w:rsid w:val="4A657F16"/>
    <w:rsid w:val="4A8709D0"/>
    <w:rsid w:val="4AAB5493"/>
    <w:rsid w:val="4ABB2CBF"/>
    <w:rsid w:val="4AC71860"/>
    <w:rsid w:val="4AF61640"/>
    <w:rsid w:val="4AFE5CDF"/>
    <w:rsid w:val="4B9D6C98"/>
    <w:rsid w:val="4BB1309A"/>
    <w:rsid w:val="4BB579EF"/>
    <w:rsid w:val="4BE928C4"/>
    <w:rsid w:val="4C3C363E"/>
    <w:rsid w:val="4C5C7AB1"/>
    <w:rsid w:val="4C8406A8"/>
    <w:rsid w:val="4C8A4425"/>
    <w:rsid w:val="4C9E32AE"/>
    <w:rsid w:val="4CA74D7F"/>
    <w:rsid w:val="4CB86F30"/>
    <w:rsid w:val="4CD04586"/>
    <w:rsid w:val="4CEB2FFD"/>
    <w:rsid w:val="4CF41636"/>
    <w:rsid w:val="4D14652C"/>
    <w:rsid w:val="4D241A5A"/>
    <w:rsid w:val="4D3848C3"/>
    <w:rsid w:val="4D7C0A97"/>
    <w:rsid w:val="4DC33663"/>
    <w:rsid w:val="4DD02D30"/>
    <w:rsid w:val="4DD53701"/>
    <w:rsid w:val="4E0D68C6"/>
    <w:rsid w:val="4E1D3F94"/>
    <w:rsid w:val="4E714E6A"/>
    <w:rsid w:val="4E761A81"/>
    <w:rsid w:val="4F305339"/>
    <w:rsid w:val="4F5F7007"/>
    <w:rsid w:val="4F6B359F"/>
    <w:rsid w:val="4F7923BC"/>
    <w:rsid w:val="4FAF7E99"/>
    <w:rsid w:val="4FB80DA3"/>
    <w:rsid w:val="4FC1612F"/>
    <w:rsid w:val="4FC53408"/>
    <w:rsid w:val="4FFD0746"/>
    <w:rsid w:val="5010743E"/>
    <w:rsid w:val="50140F7B"/>
    <w:rsid w:val="50A564B9"/>
    <w:rsid w:val="51813138"/>
    <w:rsid w:val="51A415B0"/>
    <w:rsid w:val="51BE70DF"/>
    <w:rsid w:val="51D737AB"/>
    <w:rsid w:val="520172AE"/>
    <w:rsid w:val="521D55B2"/>
    <w:rsid w:val="522318B6"/>
    <w:rsid w:val="52380017"/>
    <w:rsid w:val="525A053D"/>
    <w:rsid w:val="52607AAE"/>
    <w:rsid w:val="526345D2"/>
    <w:rsid w:val="527C7AD6"/>
    <w:rsid w:val="52A00F5F"/>
    <w:rsid w:val="52CC2E7A"/>
    <w:rsid w:val="52D558DD"/>
    <w:rsid w:val="52E04A5F"/>
    <w:rsid w:val="532B1FB3"/>
    <w:rsid w:val="532E5273"/>
    <w:rsid w:val="538A0FFA"/>
    <w:rsid w:val="53AE58CD"/>
    <w:rsid w:val="53C35D71"/>
    <w:rsid w:val="53D0009D"/>
    <w:rsid w:val="53E578EE"/>
    <w:rsid w:val="545E3FA1"/>
    <w:rsid w:val="54BE1970"/>
    <w:rsid w:val="55021730"/>
    <w:rsid w:val="55216133"/>
    <w:rsid w:val="55433398"/>
    <w:rsid w:val="55523FE7"/>
    <w:rsid w:val="556D7134"/>
    <w:rsid w:val="559F089C"/>
    <w:rsid w:val="55B918B3"/>
    <w:rsid w:val="55C03C13"/>
    <w:rsid w:val="55CF39E5"/>
    <w:rsid w:val="5624464D"/>
    <w:rsid w:val="56A46191"/>
    <w:rsid w:val="56AF0CC0"/>
    <w:rsid w:val="56C26DF8"/>
    <w:rsid w:val="56EB18D8"/>
    <w:rsid w:val="56F031DD"/>
    <w:rsid w:val="570307EE"/>
    <w:rsid w:val="574A554A"/>
    <w:rsid w:val="576A1661"/>
    <w:rsid w:val="57B1084B"/>
    <w:rsid w:val="57B238D8"/>
    <w:rsid w:val="57D47FE3"/>
    <w:rsid w:val="57FB1887"/>
    <w:rsid w:val="5831169E"/>
    <w:rsid w:val="586464A8"/>
    <w:rsid w:val="58773C0E"/>
    <w:rsid w:val="58A468EC"/>
    <w:rsid w:val="58D63927"/>
    <w:rsid w:val="58E966AE"/>
    <w:rsid w:val="59022ACC"/>
    <w:rsid w:val="59143C87"/>
    <w:rsid w:val="5914505E"/>
    <w:rsid w:val="59555D35"/>
    <w:rsid w:val="59A92380"/>
    <w:rsid w:val="59B91328"/>
    <w:rsid w:val="59FE6BD8"/>
    <w:rsid w:val="5A0250B8"/>
    <w:rsid w:val="5A162CD8"/>
    <w:rsid w:val="5A2E4526"/>
    <w:rsid w:val="5AB67055"/>
    <w:rsid w:val="5AE115A0"/>
    <w:rsid w:val="5AE26792"/>
    <w:rsid w:val="5AFC408E"/>
    <w:rsid w:val="5B21284E"/>
    <w:rsid w:val="5B387CF4"/>
    <w:rsid w:val="5B440810"/>
    <w:rsid w:val="5B836321"/>
    <w:rsid w:val="5BE44E7D"/>
    <w:rsid w:val="5C27072C"/>
    <w:rsid w:val="5CBD644B"/>
    <w:rsid w:val="5CCB3D66"/>
    <w:rsid w:val="5D202B76"/>
    <w:rsid w:val="5D462633"/>
    <w:rsid w:val="5D5B603B"/>
    <w:rsid w:val="5D8629BD"/>
    <w:rsid w:val="5DC628B7"/>
    <w:rsid w:val="5DDA4B44"/>
    <w:rsid w:val="5DF22B2B"/>
    <w:rsid w:val="5DF4486B"/>
    <w:rsid w:val="5DFA4FE4"/>
    <w:rsid w:val="5E5B3DA6"/>
    <w:rsid w:val="5E6B2FBA"/>
    <w:rsid w:val="5EAF4FAF"/>
    <w:rsid w:val="5EED29BE"/>
    <w:rsid w:val="5F0F0587"/>
    <w:rsid w:val="5F11687D"/>
    <w:rsid w:val="5F175D54"/>
    <w:rsid w:val="5F202506"/>
    <w:rsid w:val="5F413E2B"/>
    <w:rsid w:val="5F513464"/>
    <w:rsid w:val="5FB66F74"/>
    <w:rsid w:val="5FBE1452"/>
    <w:rsid w:val="5FC17AE4"/>
    <w:rsid w:val="5FE71B4E"/>
    <w:rsid w:val="60053F29"/>
    <w:rsid w:val="60177E57"/>
    <w:rsid w:val="60260DD6"/>
    <w:rsid w:val="6027476F"/>
    <w:rsid w:val="60286090"/>
    <w:rsid w:val="60863A14"/>
    <w:rsid w:val="60937952"/>
    <w:rsid w:val="60B8013D"/>
    <w:rsid w:val="60CE60F6"/>
    <w:rsid w:val="60EC02DF"/>
    <w:rsid w:val="60ED1B8C"/>
    <w:rsid w:val="60F97E7F"/>
    <w:rsid w:val="61492B98"/>
    <w:rsid w:val="6151620B"/>
    <w:rsid w:val="617A35A5"/>
    <w:rsid w:val="61CA0BAE"/>
    <w:rsid w:val="61CC4B78"/>
    <w:rsid w:val="621573FD"/>
    <w:rsid w:val="621603D1"/>
    <w:rsid w:val="62175BB4"/>
    <w:rsid w:val="626434DC"/>
    <w:rsid w:val="62787648"/>
    <w:rsid w:val="627E3596"/>
    <w:rsid w:val="62E317A6"/>
    <w:rsid w:val="633A29DC"/>
    <w:rsid w:val="63787429"/>
    <w:rsid w:val="638830BE"/>
    <w:rsid w:val="639A7D51"/>
    <w:rsid w:val="63B50714"/>
    <w:rsid w:val="63EC5AC2"/>
    <w:rsid w:val="63F94524"/>
    <w:rsid w:val="64031D7B"/>
    <w:rsid w:val="640F64CB"/>
    <w:rsid w:val="64183128"/>
    <w:rsid w:val="643560F6"/>
    <w:rsid w:val="64386F83"/>
    <w:rsid w:val="644648F9"/>
    <w:rsid w:val="647210C7"/>
    <w:rsid w:val="64AB2957"/>
    <w:rsid w:val="64C3540B"/>
    <w:rsid w:val="64CD5B14"/>
    <w:rsid w:val="65373454"/>
    <w:rsid w:val="657A5E1B"/>
    <w:rsid w:val="65C07D95"/>
    <w:rsid w:val="65CB3263"/>
    <w:rsid w:val="6621793B"/>
    <w:rsid w:val="66594DF7"/>
    <w:rsid w:val="66612A5F"/>
    <w:rsid w:val="66D54DAC"/>
    <w:rsid w:val="66D862B5"/>
    <w:rsid w:val="66FB5E1E"/>
    <w:rsid w:val="67150C98"/>
    <w:rsid w:val="675E1300"/>
    <w:rsid w:val="67AF350D"/>
    <w:rsid w:val="68AA473E"/>
    <w:rsid w:val="68BC04BE"/>
    <w:rsid w:val="68C67E52"/>
    <w:rsid w:val="69196E31"/>
    <w:rsid w:val="697B7F6E"/>
    <w:rsid w:val="69872414"/>
    <w:rsid w:val="69A86DF2"/>
    <w:rsid w:val="69AE4D14"/>
    <w:rsid w:val="69E45A4B"/>
    <w:rsid w:val="6A11401B"/>
    <w:rsid w:val="6A165B3B"/>
    <w:rsid w:val="6A4E329E"/>
    <w:rsid w:val="6A5262E6"/>
    <w:rsid w:val="6AB11F5B"/>
    <w:rsid w:val="6AE52808"/>
    <w:rsid w:val="6B1A2AD7"/>
    <w:rsid w:val="6B540A45"/>
    <w:rsid w:val="6B907F78"/>
    <w:rsid w:val="6BC47C78"/>
    <w:rsid w:val="6BE8000C"/>
    <w:rsid w:val="6BF22A62"/>
    <w:rsid w:val="6C0A6E20"/>
    <w:rsid w:val="6C194064"/>
    <w:rsid w:val="6C2A22A7"/>
    <w:rsid w:val="6C575B33"/>
    <w:rsid w:val="6C6F62D0"/>
    <w:rsid w:val="6CC7696C"/>
    <w:rsid w:val="6CC83A1C"/>
    <w:rsid w:val="6D0E7626"/>
    <w:rsid w:val="6D153CD2"/>
    <w:rsid w:val="6D382A6A"/>
    <w:rsid w:val="6D491AE4"/>
    <w:rsid w:val="6D8F66EB"/>
    <w:rsid w:val="6E2F6691"/>
    <w:rsid w:val="6E370FEF"/>
    <w:rsid w:val="6E423E42"/>
    <w:rsid w:val="6E71066B"/>
    <w:rsid w:val="6E792AF0"/>
    <w:rsid w:val="6E8734BA"/>
    <w:rsid w:val="6E873B7E"/>
    <w:rsid w:val="6E8879CF"/>
    <w:rsid w:val="6E9631AD"/>
    <w:rsid w:val="6ED004C2"/>
    <w:rsid w:val="6F283B93"/>
    <w:rsid w:val="6F3118E8"/>
    <w:rsid w:val="6F422B69"/>
    <w:rsid w:val="6FBB0781"/>
    <w:rsid w:val="6FC01F66"/>
    <w:rsid w:val="6FE55942"/>
    <w:rsid w:val="6FFD68A9"/>
    <w:rsid w:val="7031191E"/>
    <w:rsid w:val="70426C3B"/>
    <w:rsid w:val="70822844"/>
    <w:rsid w:val="715662B8"/>
    <w:rsid w:val="717B5A99"/>
    <w:rsid w:val="71857599"/>
    <w:rsid w:val="718A3484"/>
    <w:rsid w:val="71DC2F11"/>
    <w:rsid w:val="71DE0FBA"/>
    <w:rsid w:val="71FC56CF"/>
    <w:rsid w:val="71FD2B03"/>
    <w:rsid w:val="722B24FD"/>
    <w:rsid w:val="7254699A"/>
    <w:rsid w:val="72BD0DCA"/>
    <w:rsid w:val="72E44333"/>
    <w:rsid w:val="7392156E"/>
    <w:rsid w:val="73F04FDA"/>
    <w:rsid w:val="73FF14BE"/>
    <w:rsid w:val="745A23E5"/>
    <w:rsid w:val="749F4D56"/>
    <w:rsid w:val="74DC46D1"/>
    <w:rsid w:val="75003CEA"/>
    <w:rsid w:val="755B43FA"/>
    <w:rsid w:val="759B1DB0"/>
    <w:rsid w:val="75CD4BA8"/>
    <w:rsid w:val="75DE7303"/>
    <w:rsid w:val="766A62AE"/>
    <w:rsid w:val="76AB5B65"/>
    <w:rsid w:val="76CC3A38"/>
    <w:rsid w:val="76DA426F"/>
    <w:rsid w:val="76FB1C40"/>
    <w:rsid w:val="77793C3A"/>
    <w:rsid w:val="778B17ED"/>
    <w:rsid w:val="77A67C8F"/>
    <w:rsid w:val="77FD6FBB"/>
    <w:rsid w:val="780C1737"/>
    <w:rsid w:val="782C53D2"/>
    <w:rsid w:val="78571C3D"/>
    <w:rsid w:val="785B526F"/>
    <w:rsid w:val="78B041A7"/>
    <w:rsid w:val="78B4648A"/>
    <w:rsid w:val="78CC1A71"/>
    <w:rsid w:val="78EC211B"/>
    <w:rsid w:val="792D6775"/>
    <w:rsid w:val="79B4706A"/>
    <w:rsid w:val="79C3253B"/>
    <w:rsid w:val="7A093885"/>
    <w:rsid w:val="7A8B1527"/>
    <w:rsid w:val="7A8E465E"/>
    <w:rsid w:val="7A904C5F"/>
    <w:rsid w:val="7A9C45D8"/>
    <w:rsid w:val="7ACB5BD1"/>
    <w:rsid w:val="7B47102C"/>
    <w:rsid w:val="7B9A4835"/>
    <w:rsid w:val="7BA91EF8"/>
    <w:rsid w:val="7C06609A"/>
    <w:rsid w:val="7C2914C4"/>
    <w:rsid w:val="7CEE74C2"/>
    <w:rsid w:val="7CFE2071"/>
    <w:rsid w:val="7D162FF4"/>
    <w:rsid w:val="7D250A4D"/>
    <w:rsid w:val="7D382CA9"/>
    <w:rsid w:val="7D3D2F9C"/>
    <w:rsid w:val="7D732915"/>
    <w:rsid w:val="7D86617E"/>
    <w:rsid w:val="7DFC55AC"/>
    <w:rsid w:val="7E3307A8"/>
    <w:rsid w:val="7E896AAD"/>
    <w:rsid w:val="7E9A0A09"/>
    <w:rsid w:val="7EA2625C"/>
    <w:rsid w:val="7EB86685"/>
    <w:rsid w:val="7EBF42E9"/>
    <w:rsid w:val="7ED666D1"/>
    <w:rsid w:val="7EE10139"/>
    <w:rsid w:val="7EF466E3"/>
    <w:rsid w:val="7F1D7D39"/>
    <w:rsid w:val="7F537C54"/>
    <w:rsid w:val="7F5B5754"/>
    <w:rsid w:val="7F6F5F8F"/>
    <w:rsid w:val="7F8928EC"/>
    <w:rsid w:val="7F99602C"/>
    <w:rsid w:val="7FD42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37"/>
    <w:unhideWhenUsed/>
    <w:qFormat/>
    <w:uiPriority w:val="99"/>
    <w:pPr>
      <w:tabs>
        <w:tab w:val="center" w:pos="4153"/>
        <w:tab w:val="right" w:pos="8306"/>
      </w:tabs>
      <w:snapToGrid w:val="0"/>
      <w:jc w:val="left"/>
    </w:pPr>
    <w:rPr>
      <w:sz w:val="18"/>
      <w:szCs w:val="18"/>
    </w:rPr>
  </w:style>
  <w:style w:type="paragraph" w:styleId="3">
    <w:name w:val="header"/>
    <w:basedOn w:val="1"/>
    <w:link w:val="3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szCs w:val="24"/>
    </w:rPr>
  </w:style>
  <w:style w:type="character" w:styleId="7">
    <w:name w:val="FollowedHyperlink"/>
    <w:basedOn w:val="6"/>
    <w:unhideWhenUsed/>
    <w:qFormat/>
    <w:uiPriority w:val="99"/>
    <w:rPr>
      <w:color w:val="800080"/>
      <w:u w:val="single"/>
    </w:rPr>
  </w:style>
  <w:style w:type="character" w:styleId="8">
    <w:name w:val="Hyperlink"/>
    <w:basedOn w:val="6"/>
    <w:unhideWhenUsed/>
    <w:qFormat/>
    <w:uiPriority w:val="99"/>
    <w:rPr>
      <w:color w:val="0000FF"/>
      <w:u w:val="single"/>
    </w:rPr>
  </w:style>
  <w:style w:type="paragraph" w:customStyle="1" w:styleId="9">
    <w:name w:val="font5"/>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0">
    <w:name w:val="xl6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黑体_GBK" w:hAnsi="宋体" w:eastAsia="方正黑体_GBK" w:cs="宋体"/>
      <w:color w:val="000000"/>
      <w:kern w:val="0"/>
      <w:sz w:val="18"/>
      <w:szCs w:val="18"/>
    </w:rPr>
  </w:style>
  <w:style w:type="paragraph" w:customStyle="1" w:styleId="1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1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1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1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1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6"/>
      <w:szCs w:val="16"/>
    </w:rPr>
  </w:style>
  <w:style w:type="paragraph" w:customStyle="1" w:styleId="1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1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6"/>
      <w:szCs w:val="16"/>
    </w:rPr>
  </w:style>
  <w:style w:type="paragraph" w:customStyle="1" w:styleId="2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23">
    <w:name w:val="xl7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4">
    <w:name w:val="xl8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25">
    <w:name w:val="xl8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6">
    <w:name w:val="xl8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7">
    <w:name w:val="xl83"/>
    <w:basedOn w:val="1"/>
    <w:qFormat/>
    <w:uiPriority w:val="0"/>
    <w:pPr>
      <w:widowControl/>
      <w:pBdr>
        <w:top w:val="single" w:color="auto" w:sz="4" w:space="0"/>
        <w:left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2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29">
    <w:name w:val="xl85"/>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30">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31">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32">
    <w:name w:val="xl8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33">
    <w:name w:val="xl89"/>
    <w:basedOn w:val="1"/>
    <w:qFormat/>
    <w:uiPriority w:val="0"/>
    <w:pPr>
      <w:widowControl/>
      <w:pBdr>
        <w:left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34">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paragraph" w:customStyle="1" w:styleId="35">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36">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 w:val="18"/>
      <w:szCs w:val="18"/>
    </w:rPr>
  </w:style>
  <w:style w:type="character" w:customStyle="1" w:styleId="37">
    <w:name w:val="页脚 Char"/>
    <w:basedOn w:val="6"/>
    <w:link w:val="2"/>
    <w:semiHidden/>
    <w:qFormat/>
    <w:uiPriority w:val="99"/>
    <w:rPr>
      <w:sz w:val="18"/>
      <w:szCs w:val="18"/>
    </w:rPr>
  </w:style>
  <w:style w:type="character" w:customStyle="1" w:styleId="38">
    <w:name w:val="页眉 Char"/>
    <w:basedOn w:val="6"/>
    <w:link w:val="3"/>
    <w:semiHidden/>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1173</Words>
  <Characters>6687</Characters>
  <Lines>55</Lines>
  <Paragraphs>15</Paragraphs>
  <TotalTime>4</TotalTime>
  <ScaleCrop>false</ScaleCrop>
  <LinksUpToDate>false</LinksUpToDate>
  <CharactersWithSpaces>7845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2023-11-23T01:31:00Z</dcterms:created>
  <dc:creator>李翌</dc:creator>
  <cp:lastModifiedBy>Administrator</cp:lastModifiedBy>
  <cp:lastPrinted>2022-02-09T07:09:00Z</cp:lastPrinted>
  <dcterms:modified xsi:type="dcterms:W3CDTF">2024-09-11T08:13:56Z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