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86901">
      <w:pPr>
        <w:jc w:val="center"/>
        <w:rPr>
          <w:rFonts w:hint="eastAsia" w:ascii="方正小标宋_GBK" w:eastAsia="方正小标宋_GBK"/>
          <w:color w:val="auto"/>
          <w:sz w:val="32"/>
          <w:szCs w:val="32"/>
          <w:lang w:val="en-US" w:eastAsia="zh-CN"/>
        </w:rPr>
      </w:pPr>
      <w:r>
        <w:rPr>
          <w:rFonts w:hint="eastAsia" w:ascii="方正小标宋_GBK" w:eastAsia="方正小标宋_GBK"/>
          <w:color w:val="auto"/>
          <w:sz w:val="32"/>
          <w:szCs w:val="32"/>
          <w:lang w:val="en-US" w:eastAsia="zh-CN"/>
        </w:rPr>
        <w:t>行政处罚案件公示</w:t>
      </w:r>
    </w:p>
    <w:tbl>
      <w:tblPr>
        <w:tblStyle w:val="4"/>
        <w:tblW w:w="8546"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6384"/>
      </w:tblGrid>
      <w:tr w14:paraId="49C3E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tcBorders>
              <w:bottom w:val="single" w:color="auto" w:sz="4" w:space="0"/>
            </w:tcBorders>
            <w:vAlign w:val="center"/>
          </w:tcPr>
          <w:p w14:paraId="5CFE770B">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行政相对人名称</w:t>
            </w:r>
          </w:p>
        </w:tc>
        <w:tc>
          <w:tcPr>
            <w:tcW w:w="6384" w:type="dxa"/>
            <w:tcBorders>
              <w:bottom w:val="single" w:color="auto" w:sz="4" w:space="0"/>
            </w:tcBorders>
            <w:vAlign w:val="center"/>
          </w:tcPr>
          <w:p w14:paraId="1B043DFB">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jc w:val="left"/>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重庆卓润农业发展有限公司</w:t>
            </w:r>
          </w:p>
        </w:tc>
      </w:tr>
      <w:tr w14:paraId="454A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2162" w:type="dxa"/>
            <w:vAlign w:val="center"/>
          </w:tcPr>
          <w:p w14:paraId="0E495C71">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_GBK" w:eastAsia="方正小标宋_GBK"/>
                <w:lang w:eastAsia="zh-CN"/>
              </w:rPr>
            </w:pPr>
            <w:r>
              <w:rPr>
                <w:rFonts w:hint="eastAsia" w:ascii="方正小标宋_GBK" w:eastAsia="方正小标宋_GBK"/>
                <w:lang w:eastAsia="zh-CN"/>
              </w:rPr>
              <w:t>统一社会信用代码</w:t>
            </w:r>
          </w:p>
        </w:tc>
        <w:tc>
          <w:tcPr>
            <w:tcW w:w="6384" w:type="dxa"/>
            <w:vAlign w:val="center"/>
          </w:tcPr>
          <w:p w14:paraId="6949CC00">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91500107592256156U</w:t>
            </w:r>
          </w:p>
        </w:tc>
      </w:tr>
      <w:tr w14:paraId="7F738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162" w:type="dxa"/>
            <w:vAlign w:val="center"/>
          </w:tcPr>
          <w:p w14:paraId="45D52857">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法定代表人</w:t>
            </w:r>
          </w:p>
        </w:tc>
        <w:tc>
          <w:tcPr>
            <w:tcW w:w="6384" w:type="dxa"/>
            <w:vAlign w:val="center"/>
          </w:tcPr>
          <w:p w14:paraId="647FFFCF">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b/>
                <w:bCs/>
                <w:i w:val="0"/>
                <w:iCs w:val="0"/>
                <w:color w:val="000000"/>
                <w:kern w:val="2"/>
                <w:sz w:val="21"/>
                <w:szCs w:val="21"/>
                <w:u w:val="none"/>
                <w:lang w:val="en-US" w:eastAsia="zh-CN" w:bidi="ar-SA"/>
              </w:rPr>
            </w:pPr>
            <w:r>
              <w:rPr>
                <w:rFonts w:hint="eastAsia" w:ascii="方正仿宋_GBK" w:hAnsi="方正仿宋_GBK" w:eastAsia="方正仿宋_GBK" w:cs="方正仿宋_GBK"/>
                <w:color w:val="auto"/>
                <w:sz w:val="21"/>
                <w:szCs w:val="21"/>
                <w:lang w:val="en-US" w:eastAsia="zh-CN"/>
              </w:rPr>
              <w:t>刘宗伦</w:t>
            </w:r>
          </w:p>
        </w:tc>
      </w:tr>
      <w:tr w14:paraId="53475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162" w:type="dxa"/>
            <w:vAlign w:val="center"/>
          </w:tcPr>
          <w:p w14:paraId="0AA9BD29">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行政处罚决定书文号</w:t>
            </w:r>
          </w:p>
        </w:tc>
        <w:tc>
          <w:tcPr>
            <w:tcW w:w="6384" w:type="dxa"/>
            <w:vAlign w:val="center"/>
          </w:tcPr>
          <w:p w14:paraId="3D359351">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shd w:val="clear" w:color="auto" w:fill="FFFFFF"/>
                <w:lang w:eastAsia="zh-CN"/>
              </w:rPr>
              <w:t>九</w:t>
            </w:r>
            <w:r>
              <w:rPr>
                <w:rFonts w:hint="eastAsia" w:ascii="方正仿宋_GBK" w:hAnsi="方正仿宋_GBK" w:eastAsia="方正仿宋_GBK" w:cs="方正仿宋_GBK"/>
                <w:color w:val="auto"/>
                <w:sz w:val="21"/>
                <w:szCs w:val="21"/>
                <w:shd w:val="clear" w:color="auto" w:fill="FFFFFF"/>
              </w:rPr>
              <w:t>农</w:t>
            </w:r>
            <w:r>
              <w:rPr>
                <w:rFonts w:hint="eastAsia" w:ascii="方正仿宋_GBK" w:hAnsi="方正仿宋_GBK" w:eastAsia="方正仿宋_GBK" w:cs="方正仿宋_GBK"/>
                <w:color w:val="auto"/>
                <w:sz w:val="21"/>
                <w:szCs w:val="21"/>
                <w:shd w:val="clear" w:color="auto" w:fill="FFFFFF"/>
                <w:lang w:eastAsia="zh-CN"/>
              </w:rPr>
              <w:t>（农安）</w:t>
            </w:r>
            <w:r>
              <w:rPr>
                <w:rFonts w:hint="eastAsia" w:ascii="方正仿宋_GBK" w:hAnsi="方正仿宋_GBK" w:eastAsia="方正仿宋_GBK" w:cs="方正仿宋_GBK"/>
                <w:color w:val="auto"/>
                <w:sz w:val="21"/>
                <w:szCs w:val="21"/>
                <w:shd w:val="clear" w:color="auto" w:fill="FFFFFF"/>
              </w:rPr>
              <w:t>罚〔</w:t>
            </w:r>
            <w:r>
              <w:rPr>
                <w:rFonts w:hint="eastAsia" w:ascii="方正仿宋_GBK" w:hAnsi="方正仿宋_GBK" w:eastAsia="方正仿宋_GBK" w:cs="方正仿宋_GBK"/>
                <w:color w:val="auto"/>
                <w:sz w:val="21"/>
                <w:szCs w:val="21"/>
                <w:shd w:val="clear" w:color="auto" w:fill="FFFFFF"/>
                <w:lang w:val="en-US" w:eastAsia="zh-CN"/>
              </w:rPr>
              <w:t>2024</w:t>
            </w:r>
            <w:r>
              <w:rPr>
                <w:rFonts w:hint="eastAsia" w:ascii="方正仿宋_GBK" w:hAnsi="方正仿宋_GBK" w:eastAsia="方正仿宋_GBK" w:cs="方正仿宋_GBK"/>
                <w:color w:val="auto"/>
                <w:sz w:val="21"/>
                <w:szCs w:val="21"/>
                <w:shd w:val="clear" w:color="auto" w:fill="FFFFFF"/>
              </w:rPr>
              <w:t>〕</w:t>
            </w:r>
            <w:r>
              <w:rPr>
                <w:rFonts w:hint="eastAsia" w:ascii="方正仿宋_GBK" w:hAnsi="方正仿宋_GBK" w:eastAsia="方正仿宋_GBK" w:cs="方正仿宋_GBK"/>
                <w:color w:val="auto"/>
                <w:sz w:val="21"/>
                <w:szCs w:val="21"/>
                <w:shd w:val="clear" w:color="auto" w:fill="FFFFFF"/>
                <w:lang w:val="en-US" w:eastAsia="zh-CN"/>
              </w:rPr>
              <w:t>4</w:t>
            </w:r>
            <w:r>
              <w:rPr>
                <w:rFonts w:hint="eastAsia" w:ascii="方正仿宋_GBK" w:hAnsi="方正仿宋_GBK" w:eastAsia="方正仿宋_GBK" w:cs="方正仿宋_GBK"/>
                <w:color w:val="auto"/>
                <w:sz w:val="21"/>
                <w:szCs w:val="21"/>
                <w:shd w:val="clear" w:color="auto" w:fill="FFFFFF"/>
              </w:rPr>
              <w:t>号</w:t>
            </w:r>
          </w:p>
        </w:tc>
      </w:tr>
      <w:tr w14:paraId="2F3EA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162" w:type="dxa"/>
            <w:vAlign w:val="center"/>
          </w:tcPr>
          <w:p w14:paraId="44DC07A8">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违法行为类型</w:t>
            </w:r>
          </w:p>
        </w:tc>
        <w:tc>
          <w:tcPr>
            <w:tcW w:w="6384" w:type="dxa"/>
            <w:vAlign w:val="center"/>
          </w:tcPr>
          <w:p w14:paraId="790252B7">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color w:val="auto"/>
                <w:sz w:val="21"/>
                <w:szCs w:val="21"/>
                <w:lang w:val="en-US" w:eastAsia="zh-CN"/>
              </w:rPr>
              <w:t>销售</w:t>
            </w:r>
            <w:r>
              <w:rPr>
                <w:rFonts w:hint="eastAsia" w:ascii="方正仿宋_GBK" w:hAnsi="方正仿宋_GBK" w:eastAsia="方正仿宋_GBK" w:cs="方正仿宋_GBK"/>
                <w:color w:val="auto"/>
                <w:sz w:val="21"/>
                <w:szCs w:val="21"/>
              </w:rPr>
              <w:t>农药残留不符合农产品质量安全标准的农产品</w:t>
            </w:r>
          </w:p>
        </w:tc>
      </w:tr>
      <w:tr w14:paraId="0DCAE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2162" w:type="dxa"/>
            <w:vAlign w:val="center"/>
          </w:tcPr>
          <w:p w14:paraId="6EACED57">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违法事实及认定依据</w:t>
            </w:r>
          </w:p>
        </w:tc>
        <w:tc>
          <w:tcPr>
            <w:tcW w:w="6384" w:type="dxa"/>
            <w:vAlign w:val="center"/>
          </w:tcPr>
          <w:p w14:paraId="10A7893E">
            <w:pPr>
              <w:keepNext w:val="0"/>
              <w:keepLines w:val="0"/>
              <w:pageBreakBefore w:val="0"/>
              <w:widowControl w:val="0"/>
              <w:kinsoku/>
              <w:wordWrap/>
              <w:overflowPunct/>
              <w:topLinePunct w:val="0"/>
              <w:autoSpaceDE/>
              <w:autoSpaceDN/>
              <w:bidi w:val="0"/>
              <w:adjustRightInd/>
              <w:snapToGrid/>
              <w:spacing w:before="0" w:after="0" w:line="560" w:lineRule="exact"/>
              <w:ind w:right="0"/>
              <w:jc w:val="left"/>
              <w:textAlignment w:val="auto"/>
              <w:outlineLvl w:val="9"/>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color w:val="auto"/>
                <w:sz w:val="21"/>
                <w:szCs w:val="21"/>
                <w:lang w:val="en-US" w:eastAsia="zh-CN"/>
              </w:rPr>
              <w:t>经调查：</w:t>
            </w:r>
            <w:r>
              <w:rPr>
                <w:rFonts w:hint="eastAsia" w:ascii="方正仿宋_GBK" w:hAnsi="方正仿宋_GBK" w:eastAsia="方正仿宋_GBK" w:cs="方正仿宋_GBK"/>
                <w:b w:val="0"/>
                <w:bCs/>
                <w:color w:val="000000"/>
                <w:sz w:val="21"/>
                <w:szCs w:val="21"/>
                <w:u w:val="none"/>
                <w:lang w:val="en-US" w:eastAsia="zh-CN"/>
              </w:rPr>
              <w:t>当事人于2024年8月5日销售了自己生产的经监督抽检</w:t>
            </w:r>
            <w:r>
              <w:rPr>
                <w:rFonts w:hint="eastAsia" w:ascii="方正仿宋_GBK" w:hAnsi="方正仿宋_GBK" w:eastAsia="方正仿宋_GBK" w:cs="方正仿宋_GBK"/>
                <w:sz w:val="21"/>
                <w:szCs w:val="21"/>
                <w:lang w:val="en-US" w:eastAsia="zh-CN"/>
              </w:rPr>
              <w:t>吡虫啉</w:t>
            </w:r>
            <w:r>
              <w:rPr>
                <w:rFonts w:hint="eastAsia" w:ascii="方正仿宋_GBK" w:hAnsi="方正仿宋_GBK" w:eastAsia="方正仿宋_GBK" w:cs="方正仿宋_GBK"/>
                <w:b w:val="0"/>
                <w:bCs/>
                <w:color w:val="000000"/>
                <w:sz w:val="21"/>
                <w:szCs w:val="21"/>
                <w:u w:val="none"/>
                <w:lang w:val="en-US" w:eastAsia="zh-CN"/>
              </w:rPr>
              <w:t>农药残留不合格的夏黑</w:t>
            </w:r>
            <w:r>
              <w:rPr>
                <w:rFonts w:hint="eastAsia" w:ascii="方正仿宋_GBK" w:hAnsi="方正仿宋_GBK" w:eastAsia="方正仿宋_GBK" w:cs="方正仿宋_GBK"/>
                <w:sz w:val="21"/>
                <w:szCs w:val="21"/>
                <w:lang w:val="en-US" w:eastAsia="zh-CN"/>
              </w:rPr>
              <w:t>葡萄</w:t>
            </w:r>
            <w:r>
              <w:rPr>
                <w:rFonts w:hint="eastAsia" w:ascii="方正仿宋_GBK" w:hAnsi="方正仿宋_GBK" w:eastAsia="方正仿宋_GBK" w:cs="方正仿宋_GBK"/>
                <w:b w:val="0"/>
                <w:bCs/>
                <w:color w:val="000000"/>
                <w:sz w:val="21"/>
                <w:szCs w:val="21"/>
                <w:u w:val="none"/>
                <w:lang w:val="en-US" w:eastAsia="zh-CN"/>
              </w:rPr>
              <w:t>产品10千克，销售单价10元/千克，销售收入共计100元。当事人的行为违反了《中华人民共和国农产品质量安全法》第三十六条第一款第二项：“有下列情形之一的农产品，不得销售：（二）农药、兽药等化学物质残留或者含有的重金属等有毒有害物质不符合农产品质量安全标准；”之规定。</w:t>
            </w:r>
          </w:p>
        </w:tc>
      </w:tr>
      <w:tr w14:paraId="3338E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630A6C34">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处罚依据</w:t>
            </w:r>
          </w:p>
        </w:tc>
        <w:tc>
          <w:tcPr>
            <w:tcW w:w="6384" w:type="dxa"/>
            <w:vAlign w:val="center"/>
          </w:tcPr>
          <w:p w14:paraId="409D6A00">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color w:val="000000"/>
                <w:sz w:val="21"/>
                <w:szCs w:val="21"/>
                <w:u w:val="none"/>
                <w:lang w:val="en-US" w:eastAsia="zh-CN"/>
              </w:rPr>
              <w:t>《中华人民共和国农产品质量安全法》第七十一条第一款第一项：“违反本法规定，农产品生产经营者有下列行为之一，尚不构成犯罪的，由县级以上地方人民政府农业农村主管部门责令停止生产经营、追回已经销售的农产品，对违法生产经营的农产品进行无害化处理或者予以监督销毁，没收违法所得，并可以没收用于违法生产经营的工具、设备、原料等物品；违法生产经营的农产品货值金额不足一万元的，并处五万元以上十万元以下罚款，货值金额一万元以上的，并处货值金额十倍以上二十倍以下罚款；对农户，并处五百元以上五千元以下罚款：（一）销售农药、兽药等化学物质残留或者含有的重金属等有毒有害物质不符合农产品质量安全标准的农产品；”</w:t>
            </w:r>
            <w:r>
              <w:rPr>
                <w:rFonts w:hint="eastAsia" w:ascii="方正仿宋_GBK" w:hAnsi="方正仿宋_GBK" w:eastAsia="方正仿宋_GBK" w:cs="方正仿宋_GBK"/>
                <w:color w:val="auto"/>
                <w:spacing w:val="-4"/>
                <w:sz w:val="21"/>
                <w:szCs w:val="21"/>
                <w:lang w:val="en-US" w:eastAsia="zh-CN"/>
              </w:rPr>
              <w:t>。</w:t>
            </w:r>
          </w:p>
        </w:tc>
      </w:tr>
      <w:tr w14:paraId="34E65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49B0287C">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处罚类别</w:t>
            </w:r>
          </w:p>
        </w:tc>
        <w:tc>
          <w:tcPr>
            <w:tcW w:w="6384" w:type="dxa"/>
            <w:vAlign w:val="center"/>
          </w:tcPr>
          <w:p w14:paraId="38040A4E">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没收违法所得、</w:t>
            </w:r>
            <w:bookmarkStart w:id="0" w:name="_GoBack"/>
            <w:bookmarkEnd w:id="0"/>
            <w:r>
              <w:rPr>
                <w:rFonts w:hint="eastAsia" w:ascii="方正仿宋_GBK" w:hAnsi="方正仿宋_GBK" w:eastAsia="方正仿宋_GBK" w:cs="方正仿宋_GBK"/>
                <w:sz w:val="21"/>
                <w:szCs w:val="21"/>
                <w:lang w:val="en-US" w:eastAsia="zh-CN"/>
              </w:rPr>
              <w:t>罚款</w:t>
            </w:r>
          </w:p>
        </w:tc>
      </w:tr>
      <w:tr w14:paraId="36F39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693F1F7C">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方正小标宋_GBK" w:eastAsia="方正小标宋_GBK"/>
                <w:lang w:val="en-US" w:eastAsia="zh-CN"/>
              </w:rPr>
            </w:pPr>
            <w:r>
              <w:rPr>
                <w:rFonts w:hint="eastAsia" w:ascii="方正小标宋_GBK" w:eastAsia="方正小标宋_GBK"/>
                <w:lang w:val="en-US" w:eastAsia="zh-CN"/>
              </w:rPr>
              <w:t>没收违法所得、没收非法财物的金额</w:t>
            </w:r>
          </w:p>
        </w:tc>
        <w:tc>
          <w:tcPr>
            <w:tcW w:w="6384" w:type="dxa"/>
            <w:vAlign w:val="center"/>
          </w:tcPr>
          <w:p w14:paraId="695142E6">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没收违法所得100元</w:t>
            </w:r>
          </w:p>
        </w:tc>
      </w:tr>
      <w:tr w14:paraId="27CB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6BBBB29F">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处罚金额</w:t>
            </w:r>
          </w:p>
        </w:tc>
        <w:tc>
          <w:tcPr>
            <w:tcW w:w="6384" w:type="dxa"/>
            <w:vAlign w:val="center"/>
          </w:tcPr>
          <w:p w14:paraId="5D97CB7B">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lang w:val="en-US" w:eastAsia="zh-CN"/>
              </w:rPr>
              <w:t>3000元</w:t>
            </w:r>
          </w:p>
        </w:tc>
      </w:tr>
      <w:tr w14:paraId="2A2C3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2162" w:type="dxa"/>
            <w:vAlign w:val="center"/>
          </w:tcPr>
          <w:p w14:paraId="7ED6E8F0">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处罚决定日期</w:t>
            </w:r>
          </w:p>
        </w:tc>
        <w:tc>
          <w:tcPr>
            <w:tcW w:w="6384" w:type="dxa"/>
            <w:vAlign w:val="center"/>
          </w:tcPr>
          <w:p w14:paraId="238B0E89">
            <w:pPr>
              <w:keepNext w:val="0"/>
              <w:keepLines w:val="0"/>
              <w:pageBreakBefore w:val="0"/>
              <w:widowControl w:val="0"/>
              <w:kinsoku/>
              <w:wordWrap/>
              <w:overflowPunct/>
              <w:topLinePunct w:val="0"/>
              <w:autoSpaceDE/>
              <w:autoSpaceDN/>
              <w:bidi w:val="0"/>
              <w:adjustRightInd/>
              <w:snapToGrid/>
              <w:spacing w:after="0" w:line="560" w:lineRule="exact"/>
              <w:ind w:right="0"/>
              <w:jc w:val="left"/>
              <w:textAlignment w:val="auto"/>
              <w:outlineLvl w:val="9"/>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lang w:val="en-US" w:eastAsia="zh-CN"/>
              </w:rPr>
              <w:t>2024</w:t>
            </w:r>
            <w:r>
              <w:rPr>
                <w:rFonts w:hint="eastAsia" w:ascii="方正仿宋_GBK" w:hAnsi="方正仿宋_GBK" w:eastAsia="方正仿宋_GBK" w:cs="方正仿宋_GBK"/>
                <w:sz w:val="21"/>
                <w:szCs w:val="21"/>
              </w:rPr>
              <w:t>年</w:t>
            </w:r>
            <w:r>
              <w:rPr>
                <w:rFonts w:hint="eastAsia" w:ascii="方正仿宋_GBK" w:hAnsi="方正仿宋_GBK" w:eastAsia="方正仿宋_GBK" w:cs="方正仿宋_GBK"/>
                <w:sz w:val="21"/>
                <w:szCs w:val="21"/>
                <w:lang w:val="en-US" w:eastAsia="zh-CN"/>
              </w:rPr>
              <w:t>11</w:t>
            </w:r>
            <w:r>
              <w:rPr>
                <w:rFonts w:hint="eastAsia" w:ascii="方正仿宋_GBK" w:hAnsi="方正仿宋_GBK" w:eastAsia="方正仿宋_GBK" w:cs="方正仿宋_GBK"/>
                <w:sz w:val="21"/>
                <w:szCs w:val="21"/>
              </w:rPr>
              <w:t>月</w:t>
            </w:r>
            <w:r>
              <w:rPr>
                <w:rFonts w:hint="eastAsia" w:ascii="方正仿宋_GBK" w:hAnsi="方正仿宋_GBK" w:eastAsia="方正仿宋_GBK" w:cs="方正仿宋_GBK"/>
                <w:sz w:val="21"/>
                <w:szCs w:val="21"/>
                <w:lang w:val="en-US" w:eastAsia="zh-CN"/>
              </w:rPr>
              <w:t>21</w:t>
            </w:r>
            <w:r>
              <w:rPr>
                <w:rFonts w:hint="eastAsia" w:ascii="方正仿宋_GBK" w:hAnsi="方正仿宋_GBK" w:eastAsia="方正仿宋_GBK" w:cs="方正仿宋_GBK"/>
                <w:sz w:val="21"/>
                <w:szCs w:val="21"/>
              </w:rPr>
              <w:t>日</w:t>
            </w:r>
          </w:p>
        </w:tc>
      </w:tr>
      <w:tr w14:paraId="5E3E1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2162" w:type="dxa"/>
            <w:vAlign w:val="center"/>
          </w:tcPr>
          <w:p w14:paraId="7D40B174">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处罚机关</w:t>
            </w:r>
          </w:p>
        </w:tc>
        <w:tc>
          <w:tcPr>
            <w:tcW w:w="6384" w:type="dxa"/>
            <w:vAlign w:val="center"/>
          </w:tcPr>
          <w:p w14:paraId="7498DAF2">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lang w:val="en-US" w:eastAsia="zh-CN"/>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农业农村委员会</w:t>
            </w:r>
          </w:p>
        </w:tc>
      </w:tr>
      <w:tr w14:paraId="07911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162" w:type="dxa"/>
            <w:vAlign w:val="center"/>
          </w:tcPr>
          <w:p w14:paraId="2D9CBF8E">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数据来源单位</w:t>
            </w:r>
          </w:p>
        </w:tc>
        <w:tc>
          <w:tcPr>
            <w:tcW w:w="6384" w:type="dxa"/>
            <w:vAlign w:val="center"/>
          </w:tcPr>
          <w:p w14:paraId="7490952A">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重庆市九龙坡区</w:t>
            </w:r>
            <w:r>
              <w:rPr>
                <w:rFonts w:hint="eastAsia" w:ascii="方正仿宋_GBK" w:hAnsi="方正仿宋_GBK" w:eastAsia="方正仿宋_GBK" w:cs="方正仿宋_GBK"/>
                <w:sz w:val="21"/>
                <w:szCs w:val="21"/>
                <w:lang w:val="en-US" w:eastAsia="zh-CN"/>
              </w:rPr>
              <w:t>农业</w:t>
            </w:r>
            <w:r>
              <w:rPr>
                <w:rFonts w:hint="eastAsia" w:ascii="方正仿宋_GBK" w:hAnsi="方正仿宋_GBK" w:eastAsia="方正仿宋_GBK" w:cs="方正仿宋_GBK"/>
                <w:sz w:val="21"/>
                <w:szCs w:val="21"/>
              </w:rPr>
              <w:t>综合行政执法支队</w:t>
            </w:r>
          </w:p>
        </w:tc>
      </w:tr>
      <w:tr w14:paraId="7F038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162" w:type="dxa"/>
            <w:vAlign w:val="center"/>
          </w:tcPr>
          <w:p w14:paraId="183AC7C9">
            <w:pPr>
              <w:keepNext w:val="0"/>
              <w:keepLines w:val="0"/>
              <w:pageBreakBefore w:val="0"/>
              <w:kinsoku/>
              <w:wordWrap/>
              <w:overflowPunct/>
              <w:topLinePunct w:val="0"/>
              <w:autoSpaceDE/>
              <w:autoSpaceDN/>
              <w:bidi w:val="0"/>
              <w:adjustRightInd/>
              <w:snapToGrid/>
              <w:spacing w:line="560" w:lineRule="exact"/>
              <w:jc w:val="center"/>
              <w:textAlignment w:val="auto"/>
              <w:rPr>
                <w:rFonts w:ascii="方正小标宋_GBK" w:eastAsia="方正小标宋_GBK"/>
              </w:rPr>
            </w:pPr>
            <w:r>
              <w:rPr>
                <w:rFonts w:hint="eastAsia" w:ascii="方正小标宋_GBK" w:eastAsia="方正小标宋_GBK"/>
              </w:rPr>
              <w:t>备注</w:t>
            </w:r>
          </w:p>
        </w:tc>
        <w:tc>
          <w:tcPr>
            <w:tcW w:w="6384" w:type="dxa"/>
            <w:vAlign w:val="center"/>
          </w:tcPr>
          <w:p w14:paraId="12F588C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21"/>
                <w:szCs w:val="21"/>
              </w:rPr>
            </w:pPr>
          </w:p>
        </w:tc>
      </w:tr>
    </w:tbl>
    <w:p w14:paraId="699AA34A"/>
    <w:p w14:paraId="032A7E8E"/>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9396B"/>
    <w:rsid w:val="140B554B"/>
    <w:rsid w:val="15632263"/>
    <w:rsid w:val="1F3031B6"/>
    <w:rsid w:val="26CA3EF0"/>
    <w:rsid w:val="2786250D"/>
    <w:rsid w:val="2C26606D"/>
    <w:rsid w:val="36AF3103"/>
    <w:rsid w:val="39BF18AF"/>
    <w:rsid w:val="3FCC6874"/>
    <w:rsid w:val="45B06662"/>
    <w:rsid w:val="47694C08"/>
    <w:rsid w:val="56B77A74"/>
    <w:rsid w:val="5E3B6EA6"/>
    <w:rsid w:val="60DF620F"/>
    <w:rsid w:val="6B205CF8"/>
    <w:rsid w:val="76424E1E"/>
    <w:rsid w:val="7AD24297"/>
    <w:rsid w:val="7EBB39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672</Words>
  <Characters>709</Characters>
  <Lines>0</Lines>
  <Paragraphs>0</Paragraphs>
  <TotalTime>15</TotalTime>
  <ScaleCrop>false</ScaleCrop>
  <LinksUpToDate>false</LinksUpToDate>
  <CharactersWithSpaces>709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2023-03-09T01:55:00Z</dcterms:created>
  <dc:creator>SeLf RedEmpTIon</dc:creator>
  <cp:lastModifiedBy>十</cp:lastModifiedBy>
  <cp:lastPrinted>2024-11-22T08:17:39Z</cp:lastPrinted>
  <dcterms:modified xsi:type="dcterms:W3CDTF">2024-11-22T08:20:13Z</dcterms:modified>
  <dc:title>行政处罚案件公示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45138017B646417DBEAB2D21153B2257_13</vt:lpwstr>
  </property>
</Properties>
</file>