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ind w:firstLine="640" w:firstLineChars="200"/>
        <w:jc w:val="center"/>
        <w:outlineLvl w:val="0"/>
        <w:rPr>
          <w:rFonts w:hint="eastAsia" w:ascii="方正黑体_GBK" w:hAnsi="方正黑体_GBK" w:eastAsia="方正黑体_GBK" w:cs="方正黑体_GBK"/>
          <w:sz w:val="32"/>
          <w:szCs w:val="32"/>
          <w:lang w:eastAsia="zh-CN"/>
        </w:rPr>
      </w:pPr>
      <w:bookmarkStart w:id="0" w:name="_Toc54271966"/>
    </w:p>
    <w:p>
      <w:pPr>
        <w:spacing w:line="600" w:lineRule="exact"/>
        <w:ind w:firstLine="640" w:firstLineChars="200"/>
        <w:jc w:val="center"/>
        <w:outlineLvl w:val="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重庆市九龙坡区</w:t>
      </w:r>
      <w:r>
        <w:rPr>
          <w:rFonts w:hint="eastAsia" w:ascii="方正黑体_GBK" w:hAnsi="方正黑体_GBK" w:eastAsia="方正黑体_GBK" w:cs="方正黑体_GBK"/>
          <w:sz w:val="32"/>
          <w:szCs w:val="32"/>
        </w:rPr>
        <w:t>涉农补贴领域基层政务公开标准目录</w:t>
      </w:r>
      <w:bookmarkEnd w:id="0"/>
    </w:p>
    <w:tbl>
      <w:tblPr>
        <w:tblW w:w="13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31"/>
        <w:gridCol w:w="718"/>
        <w:gridCol w:w="638"/>
        <w:gridCol w:w="1457"/>
        <w:gridCol w:w="2074"/>
        <w:gridCol w:w="1153"/>
        <w:gridCol w:w="904"/>
        <w:gridCol w:w="2930"/>
        <w:gridCol w:w="582"/>
        <w:gridCol w:w="506"/>
        <w:gridCol w:w="544"/>
        <w:gridCol w:w="544"/>
        <w:gridCol w:w="544"/>
        <w:gridCol w:w="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blHeader/>
          <w:jc w:val="center"/>
        </w:trPr>
        <w:tc>
          <w:tcPr>
            <w:tcW w:w="43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序号</w:t>
            </w:r>
          </w:p>
        </w:tc>
        <w:tc>
          <w:tcPr>
            <w:tcW w:w="1356"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公开事项</w:t>
            </w:r>
          </w:p>
        </w:tc>
        <w:tc>
          <w:tcPr>
            <w:tcW w:w="1457"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公开内容</w:t>
            </w:r>
          </w:p>
          <w:p>
            <w:pPr>
              <w:widowControl/>
              <w:jc w:val="center"/>
              <w:textAlignment w:val="center"/>
              <w:rPr>
                <w:rFonts w:hint="eastAsia" w:ascii="方正小标宋_GBK" w:hAnsi="宋体" w:eastAsia="方正小标宋_GBK" w:cs="宋体"/>
                <w:bCs/>
                <w:kern w:val="0"/>
                <w:szCs w:val="21"/>
              </w:rPr>
            </w:pPr>
            <w:r>
              <w:rPr>
                <w:rFonts w:hint="eastAsia" w:ascii="方正小标宋_GBK" w:hAnsi="宋体" w:eastAsia="方正小标宋_GBK" w:cs="宋体"/>
                <w:bCs/>
                <w:kern w:val="0"/>
                <w:szCs w:val="21"/>
              </w:rPr>
              <w:t>（要素）</w:t>
            </w:r>
          </w:p>
        </w:tc>
        <w:tc>
          <w:tcPr>
            <w:tcW w:w="207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公开依据</w:t>
            </w:r>
          </w:p>
        </w:tc>
        <w:tc>
          <w:tcPr>
            <w:tcW w:w="115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w:t>
            </w:r>
          </w:p>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时限</w:t>
            </w:r>
          </w:p>
        </w:tc>
        <w:tc>
          <w:tcPr>
            <w:tcW w:w="90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w:t>
            </w:r>
          </w:p>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主体</w:t>
            </w:r>
          </w:p>
        </w:tc>
        <w:tc>
          <w:tcPr>
            <w:tcW w:w="2930" w:type="dxa"/>
            <w:vMerge w:val="restart"/>
            <w:tcBorders>
              <w:top w:val="single" w:color="auto" w:sz="4" w:space="0"/>
              <w:left w:val="single" w:color="auto" w:sz="4" w:space="0"/>
              <w:bottom w:val="single" w:color="auto" w:sz="4" w:space="0"/>
              <w:right w:val="single" w:color="auto" w:sz="4" w:space="0"/>
            </w:tcBorders>
            <w:vAlign w:val="center"/>
          </w:tcPr>
          <w:p>
            <w:pPr>
              <w:pStyle w:val="4"/>
              <w:spacing w:line="240" w:lineRule="exact"/>
              <w:jc w:val="center"/>
              <w:textAlignment w:val="baseline"/>
              <w:rPr>
                <w:rFonts w:hAnsi="Times New Roman" w:cs="方正黑体_GBK"/>
                <w:sz w:val="21"/>
                <w:szCs w:val="21"/>
              </w:rPr>
            </w:pPr>
            <w:r>
              <w:rPr>
                <w:rFonts w:hint="eastAsia"/>
                <w:w w:val="95"/>
                <w:sz w:val="21"/>
                <w:szCs w:val="21"/>
              </w:rPr>
              <w:t>公开渠道和载体</w:t>
            </w:r>
          </w:p>
        </w:tc>
        <w:tc>
          <w:tcPr>
            <w:tcW w:w="1088"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公开对象</w:t>
            </w:r>
          </w:p>
        </w:tc>
        <w:tc>
          <w:tcPr>
            <w:tcW w:w="1088"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公开方式</w:t>
            </w:r>
          </w:p>
        </w:tc>
        <w:tc>
          <w:tcPr>
            <w:tcW w:w="1088"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blHeader/>
          <w:jc w:val="center"/>
        </w:trPr>
        <w:tc>
          <w:tcPr>
            <w:tcW w:w="431"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一级</w:t>
            </w:r>
          </w:p>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事项</w:t>
            </w:r>
          </w:p>
        </w:tc>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二级</w:t>
            </w:r>
          </w:p>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事项</w:t>
            </w:r>
          </w:p>
        </w:tc>
        <w:tc>
          <w:tcPr>
            <w:tcW w:w="1457" w:type="dxa"/>
            <w:vMerge w:val="continue"/>
            <w:tcBorders>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207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115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90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293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p>
        </w:tc>
        <w:tc>
          <w:tcPr>
            <w:tcW w:w="5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全社会</w:t>
            </w:r>
          </w:p>
        </w:tc>
        <w:tc>
          <w:tcPr>
            <w:tcW w:w="5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特定群体</w:t>
            </w:r>
          </w:p>
        </w:tc>
        <w:tc>
          <w:tcPr>
            <w:tcW w:w="54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主动公开</w:t>
            </w:r>
          </w:p>
        </w:tc>
        <w:tc>
          <w:tcPr>
            <w:tcW w:w="54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依申请公开</w:t>
            </w:r>
          </w:p>
        </w:tc>
        <w:tc>
          <w:tcPr>
            <w:tcW w:w="54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区县级</w:t>
            </w:r>
          </w:p>
        </w:tc>
        <w:tc>
          <w:tcPr>
            <w:tcW w:w="54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乡镇级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p>
        </w:tc>
        <w:tc>
          <w:tcPr>
            <w:tcW w:w="71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中央农业生产发展资金</w:t>
            </w:r>
          </w:p>
        </w:tc>
        <w:tc>
          <w:tcPr>
            <w:tcW w:w="63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支持新型农业经营主体</w:t>
            </w:r>
          </w:p>
        </w:tc>
        <w:tc>
          <w:tcPr>
            <w:tcW w:w="14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r>
              <w:rPr>
                <w:rFonts w:hint="eastAsia" w:ascii="宋体" w:hAnsi="宋体" w:cs="宋体"/>
                <w:kern w:val="0"/>
                <w:sz w:val="19"/>
                <w:szCs w:val="19"/>
              </w:rPr>
              <w:t xml:space="preserve">.政策依据。            </w:t>
            </w:r>
            <w:r>
              <w:rPr>
                <w:rFonts w:hint="eastAsia" w:ascii="Times New Roman" w:hAnsi="Times New Roman" w:cs="宋体"/>
                <w:kern w:val="0"/>
                <w:sz w:val="19"/>
                <w:szCs w:val="19"/>
              </w:rPr>
              <w:t>2</w:t>
            </w:r>
            <w:r>
              <w:rPr>
                <w:rFonts w:hint="eastAsia" w:ascii="宋体" w:hAnsi="宋体" w:cs="宋体"/>
                <w:kern w:val="0"/>
                <w:sz w:val="19"/>
                <w:szCs w:val="19"/>
              </w:rPr>
              <w:t>.申请指南：补贴对象、补贴范围、补贴标准、申请程序、申请材料、咨询电话、受理单位等。</w:t>
            </w:r>
            <w:r>
              <w:rPr>
                <w:rFonts w:hint="eastAsia" w:ascii="宋体" w:hAnsi="宋体" w:cs="宋体"/>
                <w:kern w:val="0"/>
                <w:sz w:val="19"/>
                <w:szCs w:val="19"/>
              </w:rPr>
              <w:br/>
            </w:r>
            <w:r>
              <w:rPr>
                <w:rFonts w:hint="eastAsia" w:ascii="Times New Roman" w:hAnsi="Times New Roman" w:cs="宋体"/>
                <w:kern w:val="0"/>
                <w:sz w:val="19"/>
                <w:szCs w:val="19"/>
              </w:rPr>
              <w:t>3</w:t>
            </w:r>
            <w:r>
              <w:rPr>
                <w:rFonts w:hint="eastAsia" w:ascii="宋体" w:hAnsi="宋体" w:cs="宋体"/>
                <w:kern w:val="0"/>
                <w:sz w:val="19"/>
                <w:szCs w:val="19"/>
              </w:rPr>
              <w:t>.补贴结果。</w:t>
            </w:r>
            <w:r>
              <w:rPr>
                <w:rFonts w:hint="eastAsia" w:ascii="宋体" w:hAnsi="宋体" w:cs="宋体"/>
                <w:kern w:val="0"/>
                <w:sz w:val="19"/>
                <w:szCs w:val="19"/>
              </w:rPr>
              <w:br/>
            </w:r>
            <w:r>
              <w:rPr>
                <w:rFonts w:hint="eastAsia" w:ascii="Times New Roman" w:hAnsi="Times New Roman" w:cs="宋体"/>
                <w:kern w:val="0"/>
                <w:sz w:val="19"/>
                <w:szCs w:val="19"/>
              </w:rPr>
              <w:t>4</w:t>
            </w:r>
            <w:r>
              <w:rPr>
                <w:rFonts w:hint="eastAsia" w:ascii="宋体" w:hAnsi="宋体" w:cs="宋体"/>
                <w:kern w:val="0"/>
                <w:sz w:val="19"/>
                <w:szCs w:val="19"/>
              </w:rPr>
              <w:t>.监督渠道：举报电话、地址等。</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《财政部 农业农村部关于修订印发农业相关转移支付资金管理办法的通知》（财农〔</w:t>
            </w:r>
            <w:r>
              <w:rPr>
                <w:rFonts w:hint="eastAsia" w:ascii="Times New Roman" w:hAnsi="Times New Roman" w:cs="宋体"/>
                <w:kern w:val="0"/>
                <w:sz w:val="19"/>
                <w:szCs w:val="19"/>
              </w:rPr>
              <w:t>2020</w:t>
            </w:r>
            <w:r>
              <w:rPr>
                <w:rFonts w:hint="eastAsia" w:ascii="宋体" w:hAnsi="宋体" w:cs="宋体"/>
                <w:kern w:val="0"/>
                <w:sz w:val="19"/>
                <w:szCs w:val="19"/>
              </w:rPr>
              <w:t>〕</w:t>
            </w:r>
            <w:r>
              <w:rPr>
                <w:rFonts w:hint="eastAsia" w:ascii="Times New Roman" w:hAnsi="Times New Roman" w:cs="宋体"/>
                <w:kern w:val="0"/>
                <w:sz w:val="19"/>
                <w:szCs w:val="19"/>
              </w:rPr>
              <w:t>10</w:t>
            </w:r>
            <w:r>
              <w:rPr>
                <w:rFonts w:hint="eastAsia" w:ascii="宋体" w:hAnsi="宋体" w:cs="宋体"/>
                <w:kern w:val="0"/>
                <w:sz w:val="19"/>
                <w:szCs w:val="19"/>
              </w:rPr>
              <w:t>号）</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自政府信息形成或者变更之日起</w:t>
            </w:r>
            <w:r>
              <w:rPr>
                <w:rFonts w:hint="eastAsia" w:ascii="Times New Roman" w:hAnsi="Times New Roman" w:cs="宋体"/>
                <w:kern w:val="0"/>
                <w:sz w:val="19"/>
                <w:szCs w:val="19"/>
              </w:rPr>
              <w:t>20</w:t>
            </w:r>
            <w:r>
              <w:rPr>
                <w:rFonts w:hint="eastAsia" w:ascii="宋体" w:hAnsi="宋体" w:cs="宋体"/>
                <w:kern w:val="0"/>
                <w:sz w:val="19"/>
                <w:szCs w:val="19"/>
              </w:rPr>
              <w:t>个工作日内。法律、法规对政府信息公开的期限另有规定的，从其规定。</w:t>
            </w:r>
          </w:p>
        </w:tc>
        <w:tc>
          <w:tcPr>
            <w:tcW w:w="90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区农业</w:t>
            </w:r>
            <w:r>
              <w:rPr>
                <w:rFonts w:ascii="宋体" w:hAnsi="宋体" w:cs="宋体"/>
                <w:kern w:val="0"/>
                <w:sz w:val="19"/>
                <w:szCs w:val="19"/>
              </w:rPr>
              <w:t>农村委</w:t>
            </w:r>
            <w:r>
              <w:rPr>
                <w:rFonts w:hint="eastAsia" w:ascii="宋体" w:hAnsi="宋体" w:cs="宋体"/>
                <w:kern w:val="0"/>
                <w:sz w:val="19"/>
                <w:szCs w:val="19"/>
              </w:rPr>
              <w:t>，乡镇人民政府（街道办事处）</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■政府网站    □政府公报</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□两微一端    □发布会/听证会</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□广播电视    □纸质媒体</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□公开查阅点  □政务服务中心</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□便民服务站  □入户/现场</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□社区/企事业单位/村公示栏（电子屏）</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□精准推送    □其他</w:t>
            </w:r>
          </w:p>
        </w:tc>
        <w:tc>
          <w:tcPr>
            <w:tcW w:w="58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2</w:t>
            </w:r>
          </w:p>
        </w:tc>
        <w:tc>
          <w:tcPr>
            <w:tcW w:w="71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动物防疫等补助经费</w:t>
            </w:r>
          </w:p>
        </w:tc>
        <w:tc>
          <w:tcPr>
            <w:tcW w:w="63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强制扑杀补助、养殖环节无害化处理补助、强制免疫补助</w:t>
            </w:r>
          </w:p>
        </w:tc>
        <w:tc>
          <w:tcPr>
            <w:tcW w:w="14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r>
              <w:rPr>
                <w:rFonts w:hint="eastAsia" w:ascii="宋体" w:hAnsi="宋体" w:cs="宋体"/>
                <w:kern w:val="0"/>
                <w:sz w:val="19"/>
                <w:szCs w:val="19"/>
              </w:rPr>
              <w:t xml:space="preserve">.政策依据；   </w:t>
            </w:r>
            <w:r>
              <w:rPr>
                <w:rFonts w:hint="eastAsia" w:ascii="Times New Roman" w:hAnsi="Times New Roman" w:cs="宋体"/>
                <w:kern w:val="0"/>
                <w:sz w:val="19"/>
                <w:szCs w:val="19"/>
              </w:rPr>
              <w:t>2</w:t>
            </w:r>
            <w:r>
              <w:rPr>
                <w:rFonts w:hint="eastAsia" w:ascii="宋体" w:hAnsi="宋体" w:cs="宋体"/>
                <w:kern w:val="0"/>
                <w:sz w:val="19"/>
                <w:szCs w:val="19"/>
              </w:rPr>
              <w:t xml:space="preserve">.申报指南：包括补助对象、补助范围、补助标准、申请程序、申请材料、咨询电话、受理单位、办理时限、联系方式等；         </w:t>
            </w:r>
            <w:r>
              <w:rPr>
                <w:rFonts w:hint="eastAsia" w:ascii="Times New Roman" w:hAnsi="Times New Roman" w:cs="宋体"/>
                <w:kern w:val="0"/>
                <w:sz w:val="19"/>
                <w:szCs w:val="19"/>
              </w:rPr>
              <w:t>3</w:t>
            </w:r>
            <w:r>
              <w:rPr>
                <w:rFonts w:hint="eastAsia" w:ascii="宋体" w:hAnsi="宋体" w:cs="宋体"/>
                <w:kern w:val="0"/>
                <w:sz w:val="19"/>
                <w:szCs w:val="19"/>
              </w:rPr>
              <w:t xml:space="preserve">.补贴结果；   </w:t>
            </w:r>
            <w:r>
              <w:rPr>
                <w:rFonts w:hint="eastAsia" w:ascii="Times New Roman" w:hAnsi="Times New Roman" w:cs="宋体"/>
                <w:kern w:val="0"/>
                <w:sz w:val="19"/>
                <w:szCs w:val="19"/>
              </w:rPr>
              <w:t>4</w:t>
            </w:r>
            <w:r>
              <w:rPr>
                <w:rFonts w:hint="eastAsia" w:ascii="宋体" w:hAnsi="宋体" w:cs="宋体"/>
                <w:kern w:val="0"/>
                <w:sz w:val="19"/>
                <w:szCs w:val="19"/>
              </w:rPr>
              <w:t>.监督渠道：包括举报电话、地址等。</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《中华人民共和国动物防疫法》、《财政部 农业农村部关于修订印发农业相关转移支付资金管理办法的通知》（财农〔</w:t>
            </w:r>
            <w:r>
              <w:rPr>
                <w:rFonts w:hint="eastAsia" w:ascii="Times New Roman" w:hAnsi="Times New Roman" w:cs="宋体"/>
                <w:kern w:val="0"/>
                <w:sz w:val="19"/>
                <w:szCs w:val="19"/>
              </w:rPr>
              <w:t>2020</w:t>
            </w:r>
            <w:r>
              <w:rPr>
                <w:rFonts w:hint="eastAsia" w:ascii="宋体" w:hAnsi="宋体" w:cs="宋体"/>
                <w:kern w:val="0"/>
                <w:sz w:val="19"/>
                <w:szCs w:val="19"/>
              </w:rPr>
              <w:t>〕</w:t>
            </w:r>
            <w:r>
              <w:rPr>
                <w:rFonts w:hint="eastAsia" w:ascii="Times New Roman" w:hAnsi="Times New Roman" w:cs="宋体"/>
                <w:kern w:val="0"/>
                <w:sz w:val="19"/>
                <w:szCs w:val="19"/>
              </w:rPr>
              <w:t>10</w:t>
            </w:r>
            <w:r>
              <w:rPr>
                <w:rFonts w:hint="eastAsia" w:ascii="宋体" w:hAnsi="宋体" w:cs="宋体"/>
                <w:kern w:val="0"/>
                <w:sz w:val="19"/>
                <w:szCs w:val="19"/>
              </w:rPr>
              <w:t>号）</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自政府信息形成或者变更之日起</w:t>
            </w:r>
            <w:r>
              <w:rPr>
                <w:rFonts w:hint="eastAsia" w:ascii="Times New Roman" w:hAnsi="Times New Roman" w:cs="宋体"/>
                <w:kern w:val="0"/>
                <w:sz w:val="19"/>
                <w:szCs w:val="19"/>
              </w:rPr>
              <w:t>20</w:t>
            </w:r>
            <w:r>
              <w:rPr>
                <w:rFonts w:hint="eastAsia" w:ascii="宋体" w:hAnsi="宋体" w:cs="宋体"/>
                <w:kern w:val="0"/>
                <w:sz w:val="19"/>
                <w:szCs w:val="19"/>
              </w:rPr>
              <w:t>个工作日内。法律、法规对政府信息公开的期限另有规定的，从其规定。</w:t>
            </w:r>
          </w:p>
        </w:tc>
        <w:tc>
          <w:tcPr>
            <w:tcW w:w="90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区农业</w:t>
            </w:r>
            <w:r>
              <w:rPr>
                <w:rFonts w:ascii="宋体" w:hAnsi="宋体" w:cs="宋体"/>
                <w:kern w:val="0"/>
                <w:sz w:val="19"/>
                <w:szCs w:val="19"/>
              </w:rPr>
              <w:t>农村委</w:t>
            </w:r>
            <w:r>
              <w:rPr>
                <w:rFonts w:hint="eastAsia" w:ascii="宋体" w:hAnsi="宋体" w:cs="宋体"/>
                <w:kern w:val="0"/>
                <w:sz w:val="19"/>
                <w:szCs w:val="19"/>
              </w:rPr>
              <w:t>，乡镇人民政府（街道办事处）</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■政府网站    □政府公报</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□两微一端    □发布会/听证会</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□广播电视    □纸质媒体</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□公开查阅点  □政务服务中心</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□便民服务站  □入户/现场</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□社区/企事业单位/村公示栏（电子屏）</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□精准推送    □其他</w:t>
            </w:r>
          </w:p>
        </w:tc>
        <w:tc>
          <w:tcPr>
            <w:tcW w:w="58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3</w:t>
            </w:r>
          </w:p>
        </w:tc>
        <w:tc>
          <w:tcPr>
            <w:tcW w:w="71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农业生产发展资金</w:t>
            </w:r>
          </w:p>
        </w:tc>
        <w:tc>
          <w:tcPr>
            <w:tcW w:w="63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耕地地力保护和种粮大户补贴</w:t>
            </w:r>
          </w:p>
        </w:tc>
        <w:tc>
          <w:tcPr>
            <w:tcW w:w="14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r>
              <w:rPr>
                <w:rFonts w:hint="eastAsia" w:ascii="宋体" w:hAnsi="宋体" w:cs="宋体"/>
                <w:kern w:val="0"/>
                <w:sz w:val="19"/>
                <w:szCs w:val="19"/>
              </w:rPr>
              <w:t xml:space="preserve">.政策依据。            </w:t>
            </w:r>
            <w:r>
              <w:rPr>
                <w:rFonts w:hint="eastAsia" w:ascii="Times New Roman" w:hAnsi="Times New Roman" w:cs="宋体"/>
                <w:kern w:val="0"/>
                <w:sz w:val="19"/>
                <w:szCs w:val="19"/>
              </w:rPr>
              <w:t>2</w:t>
            </w:r>
            <w:r>
              <w:rPr>
                <w:rFonts w:hint="eastAsia" w:ascii="宋体" w:hAnsi="宋体" w:cs="宋体"/>
                <w:kern w:val="0"/>
                <w:sz w:val="19"/>
                <w:szCs w:val="19"/>
              </w:rPr>
              <w:t>.申请指南：补贴对象、补贴范围、补贴标准、申请程序、申请材料、咨询电话、受理单位等。</w:t>
            </w:r>
            <w:r>
              <w:rPr>
                <w:rFonts w:hint="eastAsia" w:ascii="宋体" w:hAnsi="宋体" w:cs="宋体"/>
                <w:kern w:val="0"/>
                <w:sz w:val="19"/>
                <w:szCs w:val="19"/>
              </w:rPr>
              <w:br/>
            </w:r>
            <w:r>
              <w:rPr>
                <w:rFonts w:hint="eastAsia" w:ascii="Times New Roman" w:hAnsi="Times New Roman" w:cs="宋体"/>
                <w:kern w:val="0"/>
                <w:sz w:val="19"/>
                <w:szCs w:val="19"/>
              </w:rPr>
              <w:t>3</w:t>
            </w:r>
            <w:r>
              <w:rPr>
                <w:rFonts w:hint="eastAsia" w:ascii="宋体" w:hAnsi="宋体" w:cs="宋体"/>
                <w:kern w:val="0"/>
                <w:sz w:val="19"/>
                <w:szCs w:val="19"/>
              </w:rPr>
              <w:t>.补贴结果。</w:t>
            </w:r>
            <w:r>
              <w:rPr>
                <w:rFonts w:hint="eastAsia" w:ascii="宋体" w:hAnsi="宋体" w:cs="宋体"/>
                <w:kern w:val="0"/>
                <w:sz w:val="19"/>
                <w:szCs w:val="19"/>
              </w:rPr>
              <w:br/>
            </w:r>
            <w:r>
              <w:rPr>
                <w:rFonts w:hint="eastAsia" w:ascii="Times New Roman" w:hAnsi="Times New Roman" w:cs="宋体"/>
                <w:kern w:val="0"/>
                <w:sz w:val="19"/>
                <w:szCs w:val="19"/>
              </w:rPr>
              <w:t>4</w:t>
            </w:r>
            <w:r>
              <w:rPr>
                <w:rFonts w:hint="eastAsia" w:ascii="宋体" w:hAnsi="宋体" w:cs="宋体"/>
                <w:kern w:val="0"/>
                <w:sz w:val="19"/>
                <w:szCs w:val="19"/>
              </w:rPr>
              <w:t>.监督渠道：举报电话、地址等。</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《财政部 农业农村部关于修订印发农业相关转移支付资金管理办法的通知》（财农〔</w:t>
            </w:r>
            <w:r>
              <w:rPr>
                <w:rFonts w:hint="eastAsia" w:ascii="Times New Roman" w:hAnsi="Times New Roman" w:cs="宋体"/>
                <w:kern w:val="0"/>
                <w:sz w:val="19"/>
                <w:szCs w:val="19"/>
              </w:rPr>
              <w:t>2020</w:t>
            </w:r>
            <w:r>
              <w:rPr>
                <w:rFonts w:hint="eastAsia" w:ascii="宋体" w:hAnsi="宋体" w:cs="宋体"/>
                <w:kern w:val="0"/>
                <w:sz w:val="19"/>
                <w:szCs w:val="19"/>
              </w:rPr>
              <w:t>〕</w:t>
            </w:r>
            <w:r>
              <w:rPr>
                <w:rFonts w:hint="eastAsia" w:ascii="Times New Roman" w:hAnsi="Times New Roman" w:cs="宋体"/>
                <w:kern w:val="0"/>
                <w:sz w:val="19"/>
                <w:szCs w:val="19"/>
              </w:rPr>
              <w:t>10</w:t>
            </w:r>
            <w:r>
              <w:rPr>
                <w:rFonts w:hint="eastAsia" w:ascii="宋体" w:hAnsi="宋体" w:cs="宋体"/>
                <w:kern w:val="0"/>
                <w:sz w:val="19"/>
                <w:szCs w:val="19"/>
              </w:rPr>
              <w:t>号）、《财政部农业部关于全面推开农业三项补贴改革工作的通知》(财农[</w:t>
            </w:r>
            <w:r>
              <w:rPr>
                <w:rFonts w:hint="eastAsia" w:ascii="Times New Roman" w:hAnsi="Times New Roman" w:cs="宋体"/>
                <w:kern w:val="0"/>
                <w:sz w:val="19"/>
                <w:szCs w:val="19"/>
              </w:rPr>
              <w:t>2016</w:t>
            </w:r>
            <w:r>
              <w:rPr>
                <w:rFonts w:hint="eastAsia" w:ascii="宋体" w:hAnsi="宋体" w:cs="宋体"/>
                <w:kern w:val="0"/>
                <w:sz w:val="19"/>
                <w:szCs w:val="19"/>
              </w:rPr>
              <w:t>]</w:t>
            </w:r>
            <w:r>
              <w:rPr>
                <w:rFonts w:hint="eastAsia" w:ascii="Times New Roman" w:hAnsi="Times New Roman" w:cs="宋体"/>
                <w:kern w:val="0"/>
                <w:sz w:val="19"/>
                <w:szCs w:val="19"/>
              </w:rPr>
              <w:t>26</w:t>
            </w:r>
            <w:r>
              <w:rPr>
                <w:rFonts w:hint="eastAsia" w:ascii="宋体" w:hAnsi="宋体" w:cs="宋体"/>
                <w:kern w:val="0"/>
                <w:sz w:val="19"/>
                <w:szCs w:val="19"/>
              </w:rPr>
              <w:t>号)、《重庆市XX年耕地地力保护和种粮大户补贴工作实施方案》</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自政府信息形成或者变更之日起</w:t>
            </w:r>
            <w:r>
              <w:rPr>
                <w:rFonts w:hint="eastAsia" w:ascii="Times New Roman" w:hAnsi="Times New Roman" w:cs="宋体"/>
                <w:kern w:val="0"/>
                <w:sz w:val="19"/>
                <w:szCs w:val="19"/>
              </w:rPr>
              <w:t>20</w:t>
            </w:r>
            <w:r>
              <w:rPr>
                <w:rFonts w:hint="eastAsia" w:ascii="宋体" w:hAnsi="宋体" w:cs="宋体"/>
                <w:kern w:val="0"/>
                <w:sz w:val="19"/>
                <w:szCs w:val="19"/>
              </w:rPr>
              <w:t>个工作日内。法律、法规对政府信息公开的期限另有规定的，从其规定。</w:t>
            </w:r>
          </w:p>
        </w:tc>
        <w:tc>
          <w:tcPr>
            <w:tcW w:w="90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区农业</w:t>
            </w:r>
            <w:r>
              <w:rPr>
                <w:rFonts w:ascii="宋体" w:hAnsi="宋体" w:cs="宋体"/>
                <w:kern w:val="0"/>
                <w:sz w:val="19"/>
                <w:szCs w:val="19"/>
              </w:rPr>
              <w:t>农村委</w:t>
            </w:r>
            <w:r>
              <w:rPr>
                <w:rFonts w:hint="eastAsia" w:ascii="宋体" w:hAnsi="宋体" w:cs="宋体"/>
                <w:kern w:val="0"/>
                <w:sz w:val="19"/>
                <w:szCs w:val="19"/>
              </w:rPr>
              <w:t>，乡镇人民政府（街道办事处）</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■政府网站    □政府公报</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□两微一端    □发布会/听证会</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□广播电视    □纸质媒体</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□公开查阅点  □政务服务中心</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□便民服务站  □入户/现场</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□社区/企事业单位/村公示栏（电子屏）</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□精准推送    □其他</w:t>
            </w:r>
          </w:p>
        </w:tc>
        <w:tc>
          <w:tcPr>
            <w:tcW w:w="58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4</w:t>
            </w:r>
          </w:p>
        </w:tc>
        <w:tc>
          <w:tcPr>
            <w:tcW w:w="71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农业生产发展资金</w:t>
            </w:r>
          </w:p>
        </w:tc>
        <w:tc>
          <w:tcPr>
            <w:tcW w:w="63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农机购置补贴</w:t>
            </w:r>
          </w:p>
        </w:tc>
        <w:tc>
          <w:tcPr>
            <w:tcW w:w="14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r>
              <w:rPr>
                <w:rFonts w:hint="eastAsia" w:ascii="宋体" w:hAnsi="宋体" w:cs="宋体"/>
                <w:kern w:val="0"/>
                <w:sz w:val="19"/>
                <w:szCs w:val="19"/>
              </w:rPr>
              <w:t>.政策依据：</w:t>
            </w:r>
            <w:r>
              <w:rPr>
                <w:rFonts w:hint="eastAsia" w:ascii="宋体" w:hAnsi="宋体" w:cs="宋体"/>
                <w:kern w:val="0"/>
                <w:sz w:val="19"/>
                <w:szCs w:val="19"/>
              </w:rPr>
              <w:br/>
            </w:r>
            <w:r>
              <w:rPr>
                <w:rFonts w:hint="eastAsia" w:ascii="Times New Roman" w:hAnsi="Times New Roman" w:cs="宋体"/>
                <w:kern w:val="0"/>
                <w:sz w:val="19"/>
                <w:szCs w:val="19"/>
              </w:rPr>
              <w:t>2</w:t>
            </w:r>
            <w:r>
              <w:rPr>
                <w:rFonts w:hint="eastAsia" w:ascii="宋体" w:hAnsi="宋体" w:cs="宋体"/>
                <w:kern w:val="0"/>
                <w:sz w:val="19"/>
                <w:szCs w:val="19"/>
              </w:rPr>
              <w:t>.申请指南：包括补贴对象、补贴范围、补贴标准、申请程序、申请材料、咨询电话、受理单位、办理时限、联系方式等；</w:t>
            </w:r>
            <w:r>
              <w:rPr>
                <w:rFonts w:hint="eastAsia" w:ascii="宋体" w:hAnsi="宋体" w:cs="宋体"/>
                <w:kern w:val="0"/>
                <w:sz w:val="19"/>
                <w:szCs w:val="19"/>
              </w:rPr>
              <w:br/>
            </w:r>
            <w:r>
              <w:rPr>
                <w:rFonts w:hint="eastAsia" w:ascii="Times New Roman" w:hAnsi="Times New Roman" w:cs="宋体"/>
                <w:kern w:val="0"/>
                <w:sz w:val="19"/>
                <w:szCs w:val="19"/>
              </w:rPr>
              <w:t>3</w:t>
            </w:r>
            <w:r>
              <w:rPr>
                <w:rFonts w:hint="eastAsia" w:ascii="宋体" w:hAnsi="宋体" w:cs="宋体"/>
                <w:kern w:val="0"/>
                <w:sz w:val="19"/>
                <w:szCs w:val="19"/>
              </w:rPr>
              <w:t>.补贴结果：</w:t>
            </w:r>
            <w:r>
              <w:rPr>
                <w:rFonts w:hint="eastAsia" w:ascii="宋体" w:hAnsi="宋体" w:cs="宋体"/>
                <w:kern w:val="0"/>
                <w:sz w:val="19"/>
                <w:szCs w:val="19"/>
              </w:rPr>
              <w:br/>
            </w:r>
            <w:r>
              <w:rPr>
                <w:rFonts w:hint="eastAsia" w:ascii="Times New Roman" w:hAnsi="Times New Roman" w:cs="宋体"/>
                <w:kern w:val="0"/>
                <w:sz w:val="19"/>
                <w:szCs w:val="19"/>
              </w:rPr>
              <w:t>4</w:t>
            </w:r>
            <w:r>
              <w:rPr>
                <w:rFonts w:hint="eastAsia" w:ascii="宋体" w:hAnsi="宋体" w:cs="宋体"/>
                <w:kern w:val="0"/>
                <w:sz w:val="19"/>
                <w:szCs w:val="19"/>
              </w:rPr>
              <w:t>.监督渠道：包括举报电话、地址等。</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《中华人民共和国农业机械化促进法》（中华人民共和国主席令第十六号）、《财政部 农业农村部关于修订印发农业相关转移支付资金管理办法的通知》（财农〔</w:t>
            </w:r>
            <w:r>
              <w:rPr>
                <w:rFonts w:hint="eastAsia" w:ascii="Times New Roman" w:hAnsi="Times New Roman" w:cs="宋体"/>
                <w:kern w:val="0"/>
                <w:sz w:val="19"/>
                <w:szCs w:val="19"/>
              </w:rPr>
              <w:t>2020</w:t>
            </w:r>
            <w:r>
              <w:rPr>
                <w:rFonts w:hint="eastAsia" w:ascii="宋体" w:hAnsi="宋体" w:cs="宋体"/>
                <w:kern w:val="0"/>
                <w:sz w:val="19"/>
                <w:szCs w:val="19"/>
              </w:rPr>
              <w:t>〕</w:t>
            </w:r>
            <w:r>
              <w:rPr>
                <w:rFonts w:hint="eastAsia" w:ascii="Times New Roman" w:hAnsi="Times New Roman" w:cs="宋体"/>
                <w:kern w:val="0"/>
                <w:sz w:val="19"/>
                <w:szCs w:val="19"/>
              </w:rPr>
              <w:t>10</w:t>
            </w:r>
            <w:r>
              <w:rPr>
                <w:rFonts w:hint="eastAsia" w:ascii="宋体" w:hAnsi="宋体" w:cs="宋体"/>
                <w:kern w:val="0"/>
                <w:sz w:val="19"/>
                <w:szCs w:val="19"/>
              </w:rPr>
              <w:t>号）、《</w:t>
            </w:r>
            <w:r>
              <w:rPr>
                <w:rFonts w:hint="eastAsia" w:ascii="Times New Roman" w:hAnsi="Times New Roman" w:cs="宋体"/>
                <w:kern w:val="0"/>
                <w:sz w:val="19"/>
                <w:szCs w:val="19"/>
              </w:rPr>
              <w:t>2018</w:t>
            </w:r>
            <w:r>
              <w:rPr>
                <w:rFonts w:hint="eastAsia" w:ascii="宋体" w:hAnsi="宋体" w:cs="宋体"/>
                <w:kern w:val="0"/>
                <w:sz w:val="19"/>
                <w:szCs w:val="19"/>
              </w:rPr>
              <w:t>-</w:t>
            </w:r>
            <w:r>
              <w:rPr>
                <w:rFonts w:hint="eastAsia" w:ascii="Times New Roman" w:hAnsi="Times New Roman" w:cs="宋体"/>
                <w:kern w:val="0"/>
                <w:sz w:val="19"/>
                <w:szCs w:val="19"/>
              </w:rPr>
              <w:t>2020</w:t>
            </w:r>
            <w:r>
              <w:rPr>
                <w:rFonts w:hint="eastAsia" w:ascii="宋体" w:hAnsi="宋体" w:cs="宋体"/>
                <w:kern w:val="0"/>
                <w:sz w:val="19"/>
                <w:szCs w:val="19"/>
              </w:rPr>
              <w:t>年农机购置补贴实施指导意见》（农办财〔</w:t>
            </w:r>
            <w:r>
              <w:rPr>
                <w:rFonts w:hint="eastAsia" w:ascii="Times New Roman" w:hAnsi="Times New Roman" w:cs="宋体"/>
                <w:kern w:val="0"/>
                <w:sz w:val="19"/>
                <w:szCs w:val="19"/>
              </w:rPr>
              <w:t>2018</w:t>
            </w:r>
            <w:r>
              <w:rPr>
                <w:rFonts w:hint="eastAsia" w:ascii="宋体" w:hAnsi="宋体" w:cs="宋体"/>
                <w:kern w:val="0"/>
                <w:sz w:val="19"/>
                <w:szCs w:val="19"/>
              </w:rPr>
              <w:t>〕</w:t>
            </w:r>
            <w:r>
              <w:rPr>
                <w:rFonts w:hint="eastAsia" w:ascii="Times New Roman" w:hAnsi="Times New Roman" w:cs="宋体"/>
                <w:kern w:val="0"/>
                <w:sz w:val="19"/>
                <w:szCs w:val="19"/>
              </w:rPr>
              <w:t>13</w:t>
            </w:r>
            <w:r>
              <w:rPr>
                <w:rFonts w:hint="eastAsia" w:ascii="宋体" w:hAnsi="宋体" w:cs="宋体"/>
                <w:kern w:val="0"/>
                <w:sz w:val="19"/>
                <w:szCs w:val="19"/>
              </w:rPr>
              <w:t>号）、《重庆市</w:t>
            </w:r>
            <w:r>
              <w:rPr>
                <w:rFonts w:hint="eastAsia" w:ascii="Times New Roman" w:hAnsi="Times New Roman" w:cs="宋体"/>
                <w:kern w:val="0"/>
                <w:sz w:val="19"/>
                <w:szCs w:val="19"/>
              </w:rPr>
              <w:t>2018</w:t>
            </w:r>
            <w:r>
              <w:rPr>
                <w:rFonts w:hint="eastAsia" w:ascii="宋体" w:hAnsi="宋体" w:cs="宋体"/>
                <w:kern w:val="0"/>
                <w:sz w:val="19"/>
                <w:szCs w:val="19"/>
              </w:rPr>
              <w:t>-</w:t>
            </w:r>
            <w:r>
              <w:rPr>
                <w:rFonts w:hint="eastAsia" w:ascii="Times New Roman" w:hAnsi="Times New Roman" w:cs="宋体"/>
                <w:kern w:val="0"/>
                <w:sz w:val="19"/>
                <w:szCs w:val="19"/>
              </w:rPr>
              <w:t>2020</w:t>
            </w:r>
            <w:r>
              <w:rPr>
                <w:rFonts w:hint="eastAsia" w:ascii="宋体" w:hAnsi="宋体" w:cs="宋体"/>
                <w:kern w:val="0"/>
                <w:sz w:val="19"/>
                <w:szCs w:val="19"/>
              </w:rPr>
              <w:t>年农机购置补贴实施方案》（渝农发〔</w:t>
            </w:r>
            <w:r>
              <w:rPr>
                <w:rFonts w:hint="eastAsia" w:ascii="Times New Roman" w:hAnsi="Times New Roman" w:cs="宋体"/>
                <w:kern w:val="0"/>
                <w:sz w:val="19"/>
                <w:szCs w:val="19"/>
              </w:rPr>
              <w:t>2018</w:t>
            </w:r>
            <w:r>
              <w:rPr>
                <w:rFonts w:hint="eastAsia" w:ascii="宋体" w:hAnsi="宋体" w:cs="宋体"/>
                <w:kern w:val="0"/>
                <w:sz w:val="19"/>
                <w:szCs w:val="19"/>
              </w:rPr>
              <w:t>〕</w:t>
            </w:r>
            <w:r>
              <w:rPr>
                <w:rFonts w:hint="eastAsia" w:ascii="Times New Roman" w:hAnsi="Times New Roman" w:cs="宋体"/>
                <w:kern w:val="0"/>
                <w:sz w:val="19"/>
                <w:szCs w:val="19"/>
              </w:rPr>
              <w:t>100</w:t>
            </w:r>
            <w:r>
              <w:rPr>
                <w:rFonts w:hint="eastAsia" w:ascii="宋体" w:hAnsi="宋体" w:cs="宋体"/>
                <w:kern w:val="0"/>
                <w:sz w:val="19"/>
                <w:szCs w:val="19"/>
              </w:rPr>
              <w:t>号）</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自政府信息形成或者变更之日起</w:t>
            </w:r>
            <w:r>
              <w:rPr>
                <w:rFonts w:hint="eastAsia" w:ascii="Times New Roman" w:hAnsi="Times New Roman" w:cs="宋体"/>
                <w:kern w:val="0"/>
                <w:sz w:val="19"/>
                <w:szCs w:val="19"/>
              </w:rPr>
              <w:t>20</w:t>
            </w:r>
            <w:r>
              <w:rPr>
                <w:rFonts w:hint="eastAsia" w:ascii="宋体" w:hAnsi="宋体" w:cs="宋体"/>
                <w:kern w:val="0"/>
                <w:sz w:val="19"/>
                <w:szCs w:val="19"/>
              </w:rPr>
              <w:t>个工作日内。法律、法规对政府信息公开的期限另有规定的，从其规定</w:t>
            </w:r>
          </w:p>
        </w:tc>
        <w:tc>
          <w:tcPr>
            <w:tcW w:w="90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区农业</w:t>
            </w:r>
            <w:r>
              <w:rPr>
                <w:rFonts w:ascii="宋体" w:hAnsi="宋体" w:cs="宋体"/>
                <w:kern w:val="0"/>
                <w:sz w:val="19"/>
                <w:szCs w:val="19"/>
              </w:rPr>
              <w:t>农村委</w:t>
            </w:r>
            <w:r>
              <w:rPr>
                <w:rFonts w:hint="eastAsia" w:ascii="宋体" w:hAnsi="宋体" w:cs="宋体"/>
                <w:kern w:val="0"/>
                <w:sz w:val="19"/>
                <w:szCs w:val="19"/>
              </w:rPr>
              <w:t>，乡镇人民政府（街道办事处）</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 xml:space="preserve">■政府网站    □政府公报                                                                                                                                                                                                                </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□两微一端    □发布会/听证会</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□广播电视    □纸质媒体</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□公开查阅点  □政务服务中心</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□便民服务站  □入户/现场</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□社区/企事业单位/村公示栏（电子屏）</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□精准推送    ■重庆市农机购补贴信息公开专栏</w:t>
            </w:r>
          </w:p>
        </w:tc>
        <w:tc>
          <w:tcPr>
            <w:tcW w:w="58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5</w:t>
            </w:r>
          </w:p>
        </w:tc>
        <w:tc>
          <w:tcPr>
            <w:tcW w:w="71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农业生产发展资金</w:t>
            </w:r>
          </w:p>
        </w:tc>
        <w:tc>
          <w:tcPr>
            <w:tcW w:w="63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新型职业农民培育</w:t>
            </w:r>
          </w:p>
        </w:tc>
        <w:tc>
          <w:tcPr>
            <w:tcW w:w="14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Times New Roman" w:hAnsi="Times New Roman" w:cs="宋体"/>
                <w:kern w:val="0"/>
                <w:sz w:val="19"/>
                <w:szCs w:val="19"/>
              </w:rPr>
              <w:t>1</w:t>
            </w:r>
            <w:r>
              <w:rPr>
                <w:rFonts w:hint="eastAsia" w:ascii="宋体" w:hAnsi="宋体" w:cs="宋体"/>
                <w:kern w:val="0"/>
                <w:sz w:val="19"/>
                <w:szCs w:val="19"/>
              </w:rPr>
              <w:t xml:space="preserve">.政策依据。    </w:t>
            </w:r>
            <w:r>
              <w:rPr>
                <w:rFonts w:hint="eastAsia" w:ascii="Times New Roman" w:hAnsi="Times New Roman" w:cs="宋体"/>
                <w:kern w:val="0"/>
                <w:sz w:val="19"/>
                <w:szCs w:val="19"/>
              </w:rPr>
              <w:t>2</w:t>
            </w:r>
            <w:r>
              <w:rPr>
                <w:rFonts w:hint="eastAsia" w:ascii="宋体" w:hAnsi="宋体" w:cs="宋体"/>
                <w:kern w:val="0"/>
                <w:sz w:val="19"/>
                <w:szCs w:val="19"/>
              </w:rPr>
              <w:t>.申请指南：补贴对象、补贴范围、补贴标准、申请程序、申请材料、咨询电话、受理单位等。</w:t>
            </w:r>
            <w:r>
              <w:rPr>
                <w:rFonts w:hint="eastAsia" w:ascii="宋体" w:hAnsi="宋体" w:cs="宋体"/>
                <w:kern w:val="0"/>
                <w:sz w:val="19"/>
                <w:szCs w:val="19"/>
              </w:rPr>
              <w:br/>
            </w:r>
            <w:r>
              <w:rPr>
                <w:rFonts w:hint="eastAsia" w:ascii="Times New Roman" w:hAnsi="Times New Roman" w:cs="宋体"/>
                <w:kern w:val="0"/>
                <w:sz w:val="19"/>
                <w:szCs w:val="19"/>
              </w:rPr>
              <w:t>3</w:t>
            </w:r>
            <w:r>
              <w:rPr>
                <w:rFonts w:hint="eastAsia" w:ascii="宋体" w:hAnsi="宋体" w:cs="宋体"/>
                <w:kern w:val="0"/>
                <w:sz w:val="19"/>
                <w:szCs w:val="19"/>
              </w:rPr>
              <w:t>.补贴结果。</w:t>
            </w:r>
            <w:r>
              <w:rPr>
                <w:rFonts w:hint="eastAsia" w:ascii="宋体" w:hAnsi="宋体" w:cs="宋体"/>
                <w:kern w:val="0"/>
                <w:sz w:val="19"/>
                <w:szCs w:val="19"/>
              </w:rPr>
              <w:br/>
            </w:r>
            <w:r>
              <w:rPr>
                <w:rFonts w:hint="eastAsia" w:ascii="Times New Roman" w:hAnsi="Times New Roman" w:cs="宋体"/>
                <w:kern w:val="0"/>
                <w:sz w:val="19"/>
                <w:szCs w:val="19"/>
              </w:rPr>
              <w:t>4</w:t>
            </w:r>
            <w:r>
              <w:rPr>
                <w:rFonts w:hint="eastAsia" w:ascii="宋体" w:hAnsi="宋体" w:cs="宋体"/>
                <w:kern w:val="0"/>
                <w:sz w:val="19"/>
                <w:szCs w:val="19"/>
              </w:rPr>
              <w:t>.监督渠道：举报电话、地址等。</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《中共中央办公厅  国务院办公厅关于引导农村土地经营权有序流转发展农业适度规模经营的意见》、《国务院办公厅关于支持返乡下乡人员创业创新促进农村一二三产业融合发展的意见》(国办发[</w:t>
            </w:r>
            <w:r>
              <w:rPr>
                <w:rFonts w:hint="eastAsia" w:ascii="Times New Roman" w:hAnsi="Times New Roman" w:cs="宋体"/>
                <w:kern w:val="0"/>
                <w:sz w:val="19"/>
                <w:szCs w:val="19"/>
              </w:rPr>
              <w:t>2016</w:t>
            </w:r>
            <w:r>
              <w:rPr>
                <w:rFonts w:hint="eastAsia" w:ascii="宋体" w:hAnsi="宋体" w:cs="宋体"/>
                <w:kern w:val="0"/>
                <w:sz w:val="19"/>
                <w:szCs w:val="19"/>
              </w:rPr>
              <w:t>]</w:t>
            </w:r>
            <w:r>
              <w:rPr>
                <w:rFonts w:hint="eastAsia" w:ascii="Times New Roman" w:hAnsi="Times New Roman" w:cs="宋体"/>
                <w:kern w:val="0"/>
                <w:sz w:val="19"/>
                <w:szCs w:val="19"/>
              </w:rPr>
              <w:t>84</w:t>
            </w:r>
            <w:r>
              <w:rPr>
                <w:rFonts w:hint="eastAsia" w:ascii="宋体" w:hAnsi="宋体" w:cs="宋体"/>
                <w:kern w:val="0"/>
                <w:sz w:val="19"/>
                <w:szCs w:val="19"/>
              </w:rPr>
              <w:t>号)、《财政部 农业农村部关于修订印发农业相关转移支付资金管理办法的通知》（财农〔</w:t>
            </w:r>
            <w:r>
              <w:rPr>
                <w:rFonts w:hint="eastAsia" w:ascii="Times New Roman" w:hAnsi="Times New Roman" w:cs="宋体"/>
                <w:kern w:val="0"/>
                <w:sz w:val="19"/>
                <w:szCs w:val="19"/>
              </w:rPr>
              <w:t>2020</w:t>
            </w:r>
            <w:r>
              <w:rPr>
                <w:rFonts w:hint="eastAsia" w:ascii="宋体" w:hAnsi="宋体" w:cs="宋体"/>
                <w:kern w:val="0"/>
                <w:sz w:val="19"/>
                <w:szCs w:val="19"/>
              </w:rPr>
              <w:t>〕</w:t>
            </w:r>
            <w:r>
              <w:rPr>
                <w:rFonts w:hint="eastAsia" w:ascii="Times New Roman" w:hAnsi="Times New Roman" w:cs="宋体"/>
                <w:kern w:val="0"/>
                <w:sz w:val="19"/>
                <w:szCs w:val="19"/>
              </w:rPr>
              <w:t>10</w:t>
            </w:r>
            <w:r>
              <w:rPr>
                <w:rFonts w:hint="eastAsia" w:ascii="宋体" w:hAnsi="宋体" w:cs="宋体"/>
                <w:kern w:val="0"/>
                <w:sz w:val="19"/>
                <w:szCs w:val="19"/>
              </w:rPr>
              <w:t>号）、《“十三五”全国新型职业农民培育发展规划》(农科教发[</w:t>
            </w:r>
            <w:r>
              <w:rPr>
                <w:rFonts w:hint="eastAsia" w:ascii="Times New Roman" w:hAnsi="Times New Roman" w:cs="宋体"/>
                <w:kern w:val="0"/>
                <w:sz w:val="19"/>
                <w:szCs w:val="19"/>
              </w:rPr>
              <w:t>2017</w:t>
            </w:r>
            <w:r>
              <w:rPr>
                <w:rFonts w:hint="eastAsia" w:ascii="宋体" w:hAnsi="宋体" w:cs="宋体"/>
                <w:kern w:val="0"/>
                <w:sz w:val="19"/>
                <w:szCs w:val="19"/>
              </w:rPr>
              <w:t>]</w:t>
            </w:r>
            <w:r>
              <w:rPr>
                <w:rFonts w:hint="eastAsia" w:ascii="Times New Roman" w:hAnsi="Times New Roman" w:cs="宋体"/>
                <w:kern w:val="0"/>
                <w:sz w:val="19"/>
                <w:szCs w:val="19"/>
              </w:rPr>
              <w:t>2</w:t>
            </w:r>
            <w:r>
              <w:rPr>
                <w:rFonts w:hint="eastAsia" w:ascii="宋体" w:hAnsi="宋体" w:cs="宋体"/>
                <w:kern w:val="0"/>
                <w:sz w:val="19"/>
                <w:szCs w:val="19"/>
              </w:rPr>
              <w:t>号)、《重庆市XX年关于做好农民教育培训的通知》</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自政府信息形成或者变更之日起</w:t>
            </w:r>
            <w:r>
              <w:rPr>
                <w:rFonts w:hint="eastAsia" w:ascii="Times New Roman" w:hAnsi="Times New Roman" w:cs="宋体"/>
                <w:kern w:val="0"/>
                <w:sz w:val="19"/>
                <w:szCs w:val="19"/>
              </w:rPr>
              <w:t>20</w:t>
            </w:r>
            <w:r>
              <w:rPr>
                <w:rFonts w:hint="eastAsia" w:ascii="宋体" w:hAnsi="宋体" w:cs="宋体"/>
                <w:kern w:val="0"/>
                <w:sz w:val="19"/>
                <w:szCs w:val="19"/>
              </w:rPr>
              <w:t>个工作日内。法律、法规对政府信息公开的期限另有规定的，从其规定。</w:t>
            </w:r>
          </w:p>
        </w:tc>
        <w:tc>
          <w:tcPr>
            <w:tcW w:w="90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区农业</w:t>
            </w:r>
            <w:r>
              <w:rPr>
                <w:rFonts w:ascii="宋体" w:hAnsi="宋体" w:cs="宋体"/>
                <w:kern w:val="0"/>
                <w:sz w:val="19"/>
                <w:szCs w:val="19"/>
              </w:rPr>
              <w:t>农村委</w:t>
            </w:r>
            <w:r>
              <w:rPr>
                <w:rFonts w:hint="eastAsia" w:ascii="宋体" w:hAnsi="宋体" w:cs="宋体"/>
                <w:kern w:val="0"/>
                <w:sz w:val="19"/>
                <w:szCs w:val="19"/>
              </w:rPr>
              <w:t>，乡镇人民政府（街道办事处）</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19"/>
                <w:szCs w:val="19"/>
              </w:rPr>
            </w:pPr>
            <w:r>
              <w:rPr>
                <w:rFonts w:hint="eastAsia" w:ascii="宋体" w:hAnsi="宋体" w:cs="宋体"/>
                <w:kern w:val="0"/>
                <w:sz w:val="19"/>
                <w:szCs w:val="19"/>
              </w:rPr>
              <w:t>■政府网站    □政府公报</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□两微一端    □发布会/听证会</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□广播电视    □纸质媒体</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□公开查阅点  □政务服务中心</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□便民服务站  □入户/现场</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□社区/企事业单位/村公示栏（电子屏）</w:t>
            </w:r>
          </w:p>
          <w:p>
            <w:pPr>
              <w:widowControl/>
              <w:spacing w:line="240" w:lineRule="exact"/>
              <w:jc w:val="left"/>
              <w:rPr>
                <w:rFonts w:ascii="宋体" w:hAnsi="宋体" w:cs="宋体"/>
                <w:kern w:val="0"/>
                <w:sz w:val="19"/>
                <w:szCs w:val="19"/>
              </w:rPr>
            </w:pPr>
            <w:r>
              <w:rPr>
                <w:rFonts w:hint="eastAsia" w:ascii="宋体" w:hAnsi="宋体" w:cs="宋体"/>
                <w:kern w:val="0"/>
                <w:sz w:val="19"/>
                <w:szCs w:val="19"/>
              </w:rPr>
              <w:t>□精准推送    □其他</w:t>
            </w:r>
          </w:p>
        </w:tc>
        <w:tc>
          <w:tcPr>
            <w:tcW w:w="58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sz w:val="30"/>
                <w:szCs w:val="30"/>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 w:hAnsi="仿宋" w:eastAsia="仿宋" w:cs="宋体"/>
                <w:kern w:val="0"/>
                <w:sz w:val="30"/>
                <w:szCs w:val="30"/>
              </w:rPr>
            </w:pPr>
            <w:r>
              <w:rPr>
                <w:rFonts w:hint="eastAsia" w:ascii="仿宋" w:hAnsi="仿宋" w:eastAsia="仿宋" w:cs="宋体"/>
                <w:kern w:val="0"/>
                <w:sz w:val="30"/>
                <w:szCs w:val="30"/>
              </w:rPr>
              <w:t>√</w:t>
            </w:r>
          </w:p>
        </w:tc>
      </w:tr>
    </w:tbl>
    <w:p>
      <w:pPr>
        <w:spacing w:line="600" w:lineRule="exact"/>
        <w:rPr>
          <w:szCs w:val="32"/>
        </w:rPr>
      </w:pPr>
      <w:bookmarkStart w:id="1" w:name="_GoBack"/>
      <w:bookmarkEnd w:id="1"/>
    </w:p>
    <w:sectPr>
      <w:headerReference r:id="rId4" w:type="default"/>
      <w:footerReference r:id="rId6" w:type="default"/>
      <w:headerReference r:id="rId5" w:type="even"/>
      <w:footerReference r:id="rId7" w:type="even"/>
      <w:pgSz w:w="16840" w:h="11910" w:orient="landscape"/>
      <w:pgMar w:top="1040" w:right="580" w:bottom="1560" w:left="58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 w:name="等线">
    <w:altName w:val="Arial Unicode MS"/>
    <w:panose1 w:val="00000000000000000000"/>
    <w:charset w:val="86"/>
    <w:family w:val="auto"/>
    <w:pitch w:val="default"/>
    <w:sig w:usb0="00000000" w:usb1="38CF7CFA" w:usb2="00000016" w:usb3="00000000" w:csb0="0004000F" w:csb1="00000000"/>
  </w:font>
  <w:font w:name="Microsoft YaHei UI">
    <w:panose1 w:val="020B0503020204020204"/>
    <w:charset w:val="86"/>
    <w:family w:val="auto"/>
    <w:pitch w:val="default"/>
    <w:sig w:usb0="80000287" w:usb1="28CF3C52" w:usb2="00000016" w:usb3="00000000" w:csb0="0004001F" w:csb1="00000000"/>
  </w:font>
  <w:font w:name="仿宋_GB2312">
    <w:altName w:val="仿宋"/>
    <w:panose1 w:val="00000000000000000000"/>
    <w:charset w:val="86"/>
    <w:family w:val="auto"/>
    <w:pitch w:val="default"/>
    <w:sig w:usb0="00000001" w:usb1="080E0000" w:usb2="00000010" w:usb3="00000000" w:csb0="00040000" w:csb1="00000000"/>
  </w:font>
  <w:font w:name="MingLiU">
    <w:panose1 w:val="02020509000000000000"/>
    <w:charset w:val="88"/>
    <w:family w:val="auto"/>
    <w:pitch w:val="default"/>
    <w:sig w:usb0="A00002FF" w:usb1="28CFFCFA" w:usb2="00000016" w:usb3="00000000" w:csb0="0010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 w:name="Wingdings 2">
    <w:panose1 w:val="05020102010507070707"/>
    <w:charset w:val="02"/>
    <w:family w:val="auto"/>
    <w:pitch w:val="default"/>
    <w:sig w:usb0="00000000" w:usb1="00000000" w:usb2="00000000" w:usb3="00000000" w:csb0="80000000" w:csb1="00000000"/>
  </w:font>
  <w:font w:name="新宋体">
    <w:panose1 w:val="02010609030101010101"/>
    <w:charset w:val="86"/>
    <w:family w:val="auto"/>
    <w:pitch w:val="default"/>
    <w:sig w:usb0="00000003" w:usb1="288F0000" w:usb2="00000006" w:usb3="00000000" w:csb0="00040001" w:csb1="00000000"/>
  </w:font>
  <w:font w:name="方正楷体_GBK">
    <w:panose1 w:val="03000509000000000000"/>
    <w:charset w:val="86"/>
    <w:family w:val="auto"/>
    <w:pitch w:val="default"/>
    <w:sig w:usb0="00000001" w:usb1="080E0000" w:usb2="00000000" w:usb3="00000000" w:csb0="00040000" w:csb1="00000000"/>
  </w:font>
  <w:font w:name="方正书宋_GBK">
    <w:altName w:val="Arial Unicode MS"/>
    <w:panose1 w:val="00000000000000000000"/>
    <w:charset w:val="86"/>
    <w:family w:val="auto"/>
    <w:pitch w:val="default"/>
    <w:sig w:usb0="00000001" w:usb1="080E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ind w:right="360" w:firstLine="360"/>
      <w:jc w:val="right"/>
      <w:rPr>
        <w:rFonts w:ascii="Times New Roman" w:hAnsi="Times New Roman" w:cs="Times New Roman"/>
        <w:sz w:val="32"/>
        <w:szCs w:val="32"/>
      </w:rPr>
    </w:pPr>
    <w:r>
      <w:rPr>
        <w:rStyle w:val="13"/>
        <w:rFonts w:ascii="Times New Roman" w:hAnsi="Times New Roman" w:cs="Times New Roman"/>
        <w:sz w:val="32"/>
        <w:szCs w:val="32"/>
      </w:rPr>
      <w:t>―</w:t>
    </w:r>
    <w:r>
      <w:rPr>
        <w:rFonts w:ascii="Times New Roman" w:hAnsi="Times New Roman" w:cs="Times New Roman"/>
        <w:kern w:val="0"/>
        <w:sz w:val="32"/>
        <w:szCs w:val="32"/>
      </w:rPr>
      <w:t xml:space="preserve"> </w:t>
    </w:r>
    <w:r>
      <w:rPr>
        <w:rFonts w:hint="eastAsia" w:ascii="方正仿宋_GBK" w:hAnsi="方正仿宋_GBK" w:eastAsia="方正仿宋_GBK" w:cs="方正仿宋_GBK"/>
        <w:kern w:val="0"/>
        <w:sz w:val="32"/>
        <w:szCs w:val="32"/>
      </w:rPr>
      <w:fldChar w:fldCharType="begin"/>
    </w:r>
    <w:r>
      <w:rPr>
        <w:rFonts w:hint="eastAsia" w:ascii="方正仿宋_GBK" w:hAnsi="方正仿宋_GBK" w:eastAsia="方正仿宋_GBK" w:cs="方正仿宋_GBK"/>
        <w:kern w:val="0"/>
        <w:sz w:val="32"/>
        <w:szCs w:val="32"/>
      </w:rPr>
      <w:instrText xml:space="preserve"> PAGE </w:instrText>
    </w:r>
    <w:r>
      <w:rPr>
        <w:rFonts w:hint="eastAsia" w:ascii="方正仿宋_GBK" w:hAnsi="方正仿宋_GBK" w:eastAsia="方正仿宋_GBK" w:cs="方正仿宋_GBK"/>
        <w:kern w:val="0"/>
        <w:sz w:val="32"/>
        <w:szCs w:val="32"/>
      </w:rPr>
      <w:fldChar w:fldCharType="separate"/>
    </w:r>
    <w:r>
      <w:rPr>
        <w:rFonts w:ascii="方正仿宋_GBK" w:hAnsi="方正仿宋_GBK" w:eastAsia="方正仿宋_GBK" w:cs="方正仿宋_GBK"/>
        <w:kern w:val="0"/>
        <w:sz w:val="32"/>
        <w:szCs w:val="32"/>
      </w:rPr>
      <w:t>839</w:t>
    </w:r>
    <w:r>
      <w:rPr>
        <w:rFonts w:hint="eastAsia" w:ascii="方正仿宋_GBK" w:hAnsi="方正仿宋_GBK" w:eastAsia="方正仿宋_GBK" w:cs="方正仿宋_GBK"/>
        <w:kern w:val="0"/>
        <w:sz w:val="32"/>
        <w:szCs w:val="32"/>
      </w:rPr>
      <w:fldChar w:fldCharType="end"/>
    </w:r>
    <w:r>
      <w:rPr>
        <w:rFonts w:ascii="Times New Roman" w:hAnsi="Times New Roman" w:cs="Times New Roman"/>
        <w:kern w:val="0"/>
        <w:sz w:val="32"/>
        <w:szCs w:val="32"/>
      </w:rPr>
      <w:t xml:space="preserve"> </w:t>
    </w:r>
    <w:r>
      <w:rPr>
        <w:rStyle w:val="13"/>
        <w:rFonts w:ascii="Times New Roman" w:hAnsi="Times New Roman" w:cs="Times New Roman"/>
        <w:sz w:val="32"/>
        <w:szCs w:val="3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r>
      <w:rPr>
        <w:rFonts w:ascii="Calibri" w:hAnsi="Calibri" w:eastAsia="宋体" w:cs="黑体"/>
        <w:kern w:val="2"/>
        <w:sz w:val="18"/>
        <w:szCs w:val="24"/>
        <w:lang w:val="en-US" w:eastAsia="zh-CN" w:bidi="ar-SA"/>
      </w:rPr>
      <w:pict>
        <v:rect id="文本框 3" o:spid="_x0000_s1025" style="position:absolute;left:0;margin-left:-38.05pt;margin-top:-26.95pt;height:112.5pt;width:39.1pt;rotation:0f;z-index:251658240;" o:ole="f" fillcolor="#FFFFFF" filled="f" o:preferrelative="t" stroked="f" coordsize="21600,21600">
          <v:fill on="f" color2="#FFFFFF" focus="0%"/>
          <v:imagedata gain="65536f" blacklevel="0f" gamma="0"/>
          <o:lock v:ext="edit" position="f" selection="f" grouping="f" rotation="f" cropping="f" text="f" aspectratio="f"/>
          <v:textbox style="layout-flow:vertical-ideographic;">
            <w:txbxContent>
              <w:p>
                <w:pPr>
                  <w:pStyle w:val="7"/>
                  <w:ind w:right="360" w:firstLine="360"/>
                  <w:rPr>
                    <w:sz w:val="28"/>
                    <w:szCs w:val="28"/>
                  </w:rPr>
                </w:pPr>
                <w:r>
                  <w:rPr>
                    <w:rStyle w:val="13"/>
                    <w:rFonts w:ascii="Times New Roman" w:hAnsi="Times New Roman" w:cs="Times New Roman"/>
                    <w:sz w:val="28"/>
                    <w:szCs w:val="28"/>
                  </w:rPr>
                  <w:t>―</w:t>
                </w:r>
                <w:r>
                  <w:rPr>
                    <w:rFonts w:ascii="Times New Roman" w:hAnsi="Times New Roman" w:cs="Times New Roman"/>
                    <w:kern w:val="0"/>
                    <w:sz w:val="28"/>
                    <w:szCs w:val="28"/>
                  </w:rPr>
                  <w:t xml:space="preserve"> </w:t>
                </w:r>
                <w:r>
                  <w:rPr>
                    <w:rFonts w:ascii="Times New Roman" w:hAnsi="Times New Roman" w:cs="Times New Roman"/>
                    <w:kern w:val="0"/>
                    <w:sz w:val="28"/>
                    <w:szCs w:val="28"/>
                  </w:rPr>
                  <w:fldChar w:fldCharType="begin"/>
                </w:r>
                <w:r>
                  <w:rPr>
                    <w:rFonts w:ascii="Times New Roman" w:hAnsi="Times New Roman" w:cs="Times New Roman"/>
                    <w:kern w:val="0"/>
                    <w:sz w:val="28"/>
                    <w:szCs w:val="28"/>
                  </w:rPr>
                  <w:instrText xml:space="preserve"> PAGE </w:instrText>
                </w:r>
                <w:r>
                  <w:rPr>
                    <w:rFonts w:ascii="Times New Roman" w:hAnsi="Times New Roman" w:cs="Times New Roman"/>
                    <w:kern w:val="0"/>
                    <w:sz w:val="28"/>
                    <w:szCs w:val="28"/>
                  </w:rPr>
                  <w:fldChar w:fldCharType="separate"/>
                </w:r>
                <w:r>
                  <w:rPr>
                    <w:rFonts w:ascii="Times New Roman" w:hAnsi="Times New Roman" w:cs="Times New Roman"/>
                    <w:kern w:val="0"/>
                    <w:sz w:val="28"/>
                    <w:szCs w:val="28"/>
                  </w:rPr>
                  <w:t>24</w:t>
                </w:r>
                <w:r>
                  <w:rPr>
                    <w:rFonts w:ascii="Times New Roman" w:hAnsi="Times New Roman" w:cs="Times New Roman"/>
                    <w:kern w:val="0"/>
                    <w:sz w:val="28"/>
                    <w:szCs w:val="28"/>
                  </w:rPr>
                  <w:fldChar w:fldCharType="end"/>
                </w:r>
                <w:r>
                  <w:rPr>
                    <w:rFonts w:ascii="Times New Roman" w:hAnsi="Times New Roman" w:cs="Times New Roman"/>
                    <w:kern w:val="0"/>
                    <w:sz w:val="28"/>
                    <w:szCs w:val="28"/>
                  </w:rPr>
                  <w:t xml:space="preserve"> </w:t>
                </w:r>
                <w:r>
                  <w:rPr>
                    <w:rStyle w:val="13"/>
                    <w:rFonts w:ascii="Times New Roman" w:hAnsi="Times New Roman" w:cs="Times New Roman"/>
                    <w:sz w:val="28"/>
                    <w:szCs w:val="28"/>
                  </w:rPr>
                  <w:t>―</w:t>
                </w:r>
              </w:p>
              <w:p/>
            </w:txbxContent>
          </v:textbox>
        </v:rect>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435"/>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link w:val="98"/>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paragraph" w:styleId="3">
    <w:name w:val="Document Map"/>
    <w:basedOn w:val="1"/>
    <w:link w:val="88"/>
    <w:qFormat/>
    <w:uiPriority w:val="0"/>
    <w:rPr>
      <w:rFonts w:ascii="宋体"/>
      <w:sz w:val="18"/>
      <w:szCs w:val="18"/>
    </w:rPr>
  </w:style>
  <w:style w:type="paragraph" w:styleId="4">
    <w:name w:val="Body Text"/>
    <w:basedOn w:val="1"/>
    <w:link w:val="82"/>
    <w:qFormat/>
    <w:uiPriority w:val="1"/>
    <w:pPr>
      <w:autoSpaceDE w:val="0"/>
      <w:autoSpaceDN w:val="0"/>
      <w:jc w:val="left"/>
    </w:pPr>
    <w:rPr>
      <w:rFonts w:ascii="方正小标宋_GBK" w:hAnsi="方正小标宋_GBK" w:eastAsia="方正小标宋_GBK" w:cs="方正小标宋_GBK"/>
      <w:kern w:val="0"/>
      <w:sz w:val="32"/>
      <w:szCs w:val="32"/>
      <w:lang w:val="zh-CN" w:bidi="zh-CN"/>
    </w:rPr>
  </w:style>
  <w:style w:type="paragraph" w:styleId="5">
    <w:name w:val="Date"/>
    <w:basedOn w:val="1"/>
    <w:next w:val="1"/>
    <w:link w:val="96"/>
    <w:qFormat/>
    <w:uiPriority w:val="0"/>
    <w:pPr>
      <w:ind w:left="100" w:leftChars="2500"/>
    </w:pPr>
    <w:rPr>
      <w:rFonts w:ascii="Calibri" w:hAnsi="Calibri" w:eastAsia="宋体" w:cs="Calibri"/>
      <w:szCs w:val="21"/>
    </w:rPr>
  </w:style>
  <w:style w:type="paragraph" w:styleId="6">
    <w:name w:val="Balloon Text"/>
    <w:basedOn w:val="1"/>
    <w:link w:val="84"/>
    <w:qFormat/>
    <w:uiPriority w:val="0"/>
    <w:rPr>
      <w:sz w:val="18"/>
      <w:szCs w:val="18"/>
    </w:rPr>
  </w:style>
  <w:style w:type="paragraph" w:styleId="7">
    <w:name w:val="footer"/>
    <w:basedOn w:val="1"/>
    <w:link w:val="80"/>
    <w:qFormat/>
    <w:uiPriority w:val="99"/>
    <w:pPr>
      <w:tabs>
        <w:tab w:val="center" w:pos="4153"/>
        <w:tab w:val="right" w:pos="8306"/>
      </w:tabs>
      <w:snapToGrid w:val="0"/>
      <w:jc w:val="left"/>
    </w:pPr>
    <w:rPr>
      <w:sz w:val="18"/>
    </w:rPr>
  </w:style>
  <w:style w:type="paragraph" w:styleId="8">
    <w:name w:val="header"/>
    <w:basedOn w:val="1"/>
    <w:link w:val="8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sz w:val="24"/>
    </w:rPr>
  </w:style>
  <w:style w:type="character" w:styleId="13">
    <w:name w:val="page number"/>
    <w:basedOn w:val="12"/>
    <w:qFormat/>
    <w:uiPriority w:val="0"/>
    <w:rPr/>
  </w:style>
  <w:style w:type="character" w:styleId="14">
    <w:name w:val="FollowedHyperlink"/>
    <w:basedOn w:val="12"/>
    <w:unhideWhenUsed/>
    <w:qFormat/>
    <w:uiPriority w:val="99"/>
    <w:rPr>
      <w:color w:val="954F72"/>
      <w:u w:val="single"/>
    </w:rPr>
  </w:style>
  <w:style w:type="character" w:styleId="15">
    <w:name w:val="Emphasis"/>
    <w:qFormat/>
    <w:uiPriority w:val="0"/>
    <w:rPr>
      <w:i/>
      <w:iCs/>
    </w:rPr>
  </w:style>
  <w:style w:type="character" w:styleId="16">
    <w:name w:val="Hyperlink"/>
    <w:basedOn w:val="12"/>
    <w:qFormat/>
    <w:uiPriority w:val="99"/>
    <w:rPr>
      <w:color w:val="0000FF"/>
      <w:u w:val="single"/>
    </w:rPr>
  </w:style>
  <w:style w:type="paragraph" w:customStyle="1" w:styleId="17">
    <w:name w:val="List Paragraph"/>
    <w:basedOn w:val="1"/>
    <w:qFormat/>
    <w:uiPriority w:val="1"/>
    <w:pPr>
      <w:autoSpaceDE w:val="0"/>
      <w:autoSpaceDN w:val="0"/>
      <w:jc w:val="left"/>
    </w:pPr>
    <w:rPr>
      <w:rFonts w:ascii="宋体" w:hAnsi="宋体" w:eastAsia="宋体" w:cs="宋体"/>
      <w:kern w:val="0"/>
      <w:sz w:val="22"/>
      <w:szCs w:val="22"/>
      <w:lang w:val="zh-CN" w:bidi="zh-CN"/>
    </w:rPr>
  </w:style>
  <w:style w:type="paragraph" w:customStyle="1" w:styleId="18">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paragraph" w:customStyle="1" w:styleId="1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xl66"/>
    <w:basedOn w:val="1"/>
    <w:qFormat/>
    <w:uiPriority w:val="0"/>
    <w:pPr>
      <w:widowControl/>
      <w:shd w:val="clear" w:color="000000" w:fill="FFFFFF"/>
      <w:spacing w:before="100" w:beforeAutospacing="1" w:after="100" w:afterAutospacing="1"/>
      <w:jc w:val="left"/>
      <w:textAlignment w:val="top"/>
    </w:pPr>
    <w:rPr>
      <w:rFonts w:ascii="宋体" w:hAnsi="宋体" w:eastAsia="宋体" w:cs="宋体"/>
      <w:kern w:val="0"/>
      <w:sz w:val="24"/>
    </w:rPr>
  </w:style>
  <w:style w:type="paragraph" w:customStyle="1" w:styleId="22">
    <w:name w:val="xl67"/>
    <w:basedOn w:val="1"/>
    <w:qFormat/>
    <w:uiPriority w:val="0"/>
    <w:pPr>
      <w:widowControl/>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23">
    <w:name w:val="xl68"/>
    <w:basedOn w:val="1"/>
    <w:qFormat/>
    <w:uiPriority w:val="0"/>
    <w:pPr>
      <w:widowControl/>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24">
    <w:name w:val="xl69"/>
    <w:basedOn w:val="1"/>
    <w:qFormat/>
    <w:uiPriority w:val="0"/>
    <w:pPr>
      <w:widowControl/>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25">
    <w:name w:val="xl70"/>
    <w:basedOn w:val="1"/>
    <w:qFormat/>
    <w:uiPriority w:val="0"/>
    <w:pPr>
      <w:widowControl/>
      <w:spacing w:before="100" w:beforeAutospacing="1" w:after="100" w:afterAutospacing="1"/>
      <w:jc w:val="left"/>
      <w:textAlignment w:val="top"/>
    </w:pPr>
    <w:rPr>
      <w:rFonts w:ascii="宋体" w:hAnsi="宋体" w:eastAsia="宋体" w:cs="宋体"/>
      <w:kern w:val="0"/>
      <w:sz w:val="24"/>
    </w:rPr>
  </w:style>
  <w:style w:type="paragraph" w:customStyle="1" w:styleId="26">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kern w:val="0"/>
      <w:sz w:val="26"/>
      <w:szCs w:val="26"/>
    </w:rPr>
  </w:style>
  <w:style w:type="paragraph" w:customStyle="1" w:styleId="2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color w:val="000000"/>
      <w:kern w:val="0"/>
      <w:sz w:val="26"/>
      <w:szCs w:val="26"/>
    </w:rPr>
  </w:style>
  <w:style w:type="paragraph" w:customStyle="1" w:styleId="28">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29">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textAlignment w:val="center"/>
    </w:pPr>
    <w:rPr>
      <w:rFonts w:ascii="方正仿宋_GBK" w:hAnsi="宋体" w:eastAsia="方正仿宋_GBK" w:cs="宋体"/>
      <w:kern w:val="0"/>
      <w:sz w:val="24"/>
    </w:rPr>
  </w:style>
  <w:style w:type="paragraph" w:customStyle="1" w:styleId="30">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方正仿宋_GBK" w:hAnsi="宋体" w:eastAsia="方正仿宋_GBK" w:cs="宋体"/>
      <w:kern w:val="0"/>
      <w:sz w:val="24"/>
    </w:rPr>
  </w:style>
  <w:style w:type="paragraph" w:customStyle="1" w:styleId="31">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textAlignment w:val="center"/>
    </w:pPr>
    <w:rPr>
      <w:rFonts w:ascii="方正仿宋_GBK" w:hAnsi="宋体" w:eastAsia="方正仿宋_GBK" w:cs="宋体"/>
      <w:kern w:val="0"/>
      <w:sz w:val="24"/>
    </w:rPr>
  </w:style>
  <w:style w:type="paragraph" w:customStyle="1" w:styleId="32">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textAlignment w:val="center"/>
    </w:pPr>
    <w:rPr>
      <w:rFonts w:ascii="方正仿宋_GBK" w:hAnsi="宋体" w:eastAsia="方正仿宋_GBK" w:cs="宋体"/>
      <w:color w:val="000000"/>
      <w:kern w:val="0"/>
      <w:sz w:val="24"/>
    </w:rPr>
  </w:style>
  <w:style w:type="paragraph" w:customStyle="1" w:styleId="33">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方正仿宋_GBK" w:hAnsi="宋体" w:eastAsia="方正仿宋_GBK" w:cs="宋体"/>
      <w:kern w:val="0"/>
      <w:sz w:val="24"/>
    </w:rPr>
  </w:style>
  <w:style w:type="paragraph" w:customStyle="1" w:styleId="34">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35">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textAlignment w:val="center"/>
    </w:pPr>
    <w:rPr>
      <w:rFonts w:ascii="方正仿宋_GBK" w:hAnsi="宋体" w:eastAsia="方正仿宋_GBK" w:cs="宋体"/>
      <w:kern w:val="0"/>
      <w:sz w:val="24"/>
    </w:rPr>
  </w:style>
  <w:style w:type="paragraph" w:customStyle="1" w:styleId="3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方正仿宋_GBK" w:hAnsi="宋体" w:eastAsia="方正仿宋_GBK" w:cs="宋体"/>
      <w:kern w:val="0"/>
      <w:sz w:val="24"/>
    </w:rPr>
  </w:style>
  <w:style w:type="paragraph" w:customStyle="1" w:styleId="37">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方正仿宋_GBK" w:hAnsi="宋体" w:eastAsia="方正仿宋_GBK" w:cs="宋体"/>
      <w:kern w:val="0"/>
      <w:sz w:val="24"/>
    </w:rPr>
  </w:style>
  <w:style w:type="paragraph" w:customStyle="1" w:styleId="38">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3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方正仿宋_GBK" w:hAnsi="宋体" w:eastAsia="方正仿宋_GBK" w:cs="宋体"/>
      <w:color w:val="000000"/>
      <w:kern w:val="0"/>
      <w:sz w:val="24"/>
    </w:rPr>
  </w:style>
  <w:style w:type="paragraph" w:customStyle="1" w:styleId="4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6"/>
      <w:szCs w:val="26"/>
    </w:rPr>
  </w:style>
  <w:style w:type="paragraph" w:customStyle="1" w:styleId="41">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42">
    <w:name w:val="xl87"/>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43">
    <w:name w:val="xl8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kern w:val="0"/>
      <w:sz w:val="24"/>
    </w:rPr>
  </w:style>
  <w:style w:type="paragraph" w:customStyle="1" w:styleId="44">
    <w:name w:val="xl89"/>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color w:val="000000"/>
      <w:kern w:val="0"/>
      <w:sz w:val="24"/>
    </w:rPr>
  </w:style>
  <w:style w:type="paragraph" w:customStyle="1" w:styleId="45">
    <w:name w:val="xl90"/>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color w:val="000000"/>
      <w:kern w:val="0"/>
      <w:sz w:val="24"/>
    </w:rPr>
  </w:style>
  <w:style w:type="paragraph" w:customStyle="1" w:styleId="46">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方正仿宋_GBK" w:hAnsi="宋体" w:eastAsia="方正仿宋_GBK" w:cs="宋体"/>
      <w:color w:val="000000"/>
      <w:kern w:val="0"/>
      <w:sz w:val="24"/>
    </w:rPr>
  </w:style>
  <w:style w:type="paragraph" w:customStyle="1" w:styleId="47">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黑体" w:hAnsi="黑体" w:eastAsia="黑体" w:cs="宋体"/>
      <w:kern w:val="0"/>
      <w:sz w:val="26"/>
      <w:szCs w:val="26"/>
    </w:rPr>
  </w:style>
  <w:style w:type="paragraph" w:customStyle="1" w:styleId="48">
    <w:name w:val="xl93"/>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textAlignment w:val="center"/>
    </w:pPr>
    <w:rPr>
      <w:rFonts w:ascii="黑体" w:hAnsi="黑体" w:eastAsia="黑体" w:cs="宋体"/>
      <w:kern w:val="0"/>
      <w:sz w:val="26"/>
      <w:szCs w:val="26"/>
    </w:rPr>
  </w:style>
  <w:style w:type="paragraph" w:customStyle="1" w:styleId="49">
    <w:name w:val="xl94"/>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kern w:val="0"/>
      <w:sz w:val="26"/>
      <w:szCs w:val="26"/>
    </w:rPr>
  </w:style>
  <w:style w:type="paragraph" w:customStyle="1" w:styleId="50">
    <w:name w:val="Body text|1"/>
    <w:basedOn w:val="1"/>
    <w:link w:val="86"/>
    <w:qFormat/>
    <w:uiPriority w:val="0"/>
    <w:pPr>
      <w:spacing w:line="446" w:lineRule="auto"/>
      <w:ind w:firstLine="400"/>
      <w:jc w:val="left"/>
    </w:pPr>
    <w:rPr>
      <w:rFonts w:ascii="宋体" w:hAnsi="宋体" w:cs="宋体"/>
      <w:kern w:val="0"/>
      <w:sz w:val="28"/>
      <w:szCs w:val="28"/>
      <w:lang w:val="zh-TW" w:eastAsia="zh-TW" w:bidi="zh-TW"/>
    </w:rPr>
  </w:style>
  <w:style w:type="paragraph" w:customStyle="1" w:styleId="51">
    <w:name w:val="Other|1"/>
    <w:basedOn w:val="1"/>
    <w:link w:val="83"/>
    <w:qFormat/>
    <w:uiPriority w:val="0"/>
    <w:pPr>
      <w:spacing w:line="310" w:lineRule="exact"/>
      <w:jc w:val="left"/>
    </w:pPr>
    <w:rPr>
      <w:rFonts w:ascii="宋体" w:hAnsi="宋体" w:cs="宋体"/>
      <w:kern w:val="0"/>
      <w:sz w:val="20"/>
      <w:szCs w:val="20"/>
      <w:lang w:val="zh-TW" w:eastAsia="zh-TW" w:bidi="zh-TW"/>
    </w:rPr>
  </w:style>
  <w:style w:type="paragraph" w:customStyle="1" w:styleId="52">
    <w:name w:val="_Style 4"/>
    <w:basedOn w:val="1"/>
    <w:qFormat/>
    <w:uiPriority w:val="0"/>
    <w:pPr>
      <w:ind w:firstLine="420" w:firstLineChars="200"/>
    </w:pPr>
    <w:rPr>
      <w:rFonts w:ascii="等线" w:hAnsi="等线" w:eastAsia="等线" w:cs="Times New Roman"/>
      <w:sz w:val="32"/>
    </w:rPr>
  </w:style>
  <w:style w:type="paragraph" w:customStyle="1" w:styleId="53">
    <w:name w:val="列出段落2"/>
    <w:basedOn w:val="1"/>
    <w:qFormat/>
    <w:uiPriority w:val="0"/>
    <w:pPr>
      <w:ind w:firstLine="420" w:firstLineChars="200"/>
    </w:pPr>
    <w:rPr>
      <w:rFonts w:ascii="等线" w:hAnsi="等线" w:eastAsia="等线" w:cs="Times New Roman"/>
      <w:sz w:val="32"/>
    </w:rPr>
  </w:style>
  <w:style w:type="paragraph" w:customStyle="1" w:styleId="54">
    <w:name w:val="_Style 2"/>
    <w:basedOn w:val="1"/>
    <w:qFormat/>
    <w:uiPriority w:val="0"/>
    <w:pPr>
      <w:ind w:firstLine="420" w:firstLineChars="200"/>
    </w:pPr>
    <w:rPr>
      <w:rFonts w:ascii="等线" w:hAnsi="等线" w:eastAsia="等线" w:cs="Times New Roman"/>
      <w:sz w:val="32"/>
    </w:rPr>
  </w:style>
  <w:style w:type="paragraph" w:customStyle="1" w:styleId="55">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font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57">
    <w:name w:val="font8"/>
    <w:basedOn w:val="1"/>
    <w:qFormat/>
    <w:uiPriority w:val="0"/>
    <w:pPr>
      <w:widowControl/>
      <w:spacing w:before="100" w:beforeAutospacing="1" w:after="100" w:afterAutospacing="1"/>
      <w:jc w:val="left"/>
    </w:pPr>
    <w:rPr>
      <w:rFonts w:ascii="方正仿宋_GBK" w:hAnsi="宋体" w:eastAsia="方正仿宋_GBK" w:cs="宋体"/>
      <w:kern w:val="0"/>
      <w:sz w:val="24"/>
    </w:rPr>
  </w:style>
  <w:style w:type="paragraph" w:customStyle="1" w:styleId="58">
    <w:name w:val="font9"/>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59">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60">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黑体_GBK" w:hAnsi="宋体" w:eastAsia="方正黑体_GBK" w:cs="宋体"/>
      <w:kern w:val="0"/>
      <w:sz w:val="24"/>
    </w:rPr>
  </w:style>
  <w:style w:type="paragraph" w:customStyle="1" w:styleId="61">
    <w:name w:val="xl97"/>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方正仿宋_GBK" w:hAnsi="宋体" w:eastAsia="方正仿宋_GBK" w:cs="宋体"/>
      <w:kern w:val="0"/>
      <w:sz w:val="24"/>
    </w:rPr>
  </w:style>
  <w:style w:type="paragraph" w:customStyle="1" w:styleId="62">
    <w:name w:val="xl9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方正仿宋_GBK" w:hAnsi="宋体" w:eastAsia="方正仿宋_GBK" w:cs="宋体"/>
      <w:kern w:val="0"/>
      <w:sz w:val="24"/>
    </w:rPr>
  </w:style>
  <w:style w:type="paragraph" w:customStyle="1" w:styleId="63">
    <w:name w:val="xl99"/>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方正仿宋_GBK" w:hAnsi="宋体" w:eastAsia="方正仿宋_GBK" w:cs="宋体"/>
      <w:kern w:val="0"/>
      <w:sz w:val="24"/>
    </w:rPr>
  </w:style>
  <w:style w:type="paragraph" w:customStyle="1" w:styleId="64">
    <w:name w:val="xl100"/>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hAnsi="宋体" w:eastAsia="方正仿宋_GBK" w:cs="宋体"/>
      <w:kern w:val="0"/>
      <w:sz w:val="24"/>
    </w:rPr>
  </w:style>
  <w:style w:type="paragraph" w:customStyle="1" w:styleId="65">
    <w:name w:val="xl101"/>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方正仿宋_GBK" w:hAnsi="宋体" w:eastAsia="方正仿宋_GBK" w:cs="宋体"/>
      <w:kern w:val="0"/>
      <w:sz w:val="24"/>
    </w:rPr>
  </w:style>
  <w:style w:type="paragraph" w:customStyle="1" w:styleId="66">
    <w:name w:val="xl102"/>
    <w:basedOn w:val="1"/>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pPr>
    <w:rPr>
      <w:rFonts w:ascii="方正仿宋_GBK" w:hAnsi="宋体" w:eastAsia="方正仿宋_GBK" w:cs="宋体"/>
      <w:kern w:val="0"/>
      <w:sz w:val="24"/>
    </w:rPr>
  </w:style>
  <w:style w:type="paragraph" w:customStyle="1" w:styleId="67">
    <w:name w:val="xl10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top"/>
    </w:pPr>
    <w:rPr>
      <w:rFonts w:ascii="方正仿宋_GBK" w:hAnsi="宋体" w:eastAsia="方正仿宋_GBK" w:cs="宋体"/>
      <w:kern w:val="0"/>
      <w:sz w:val="24"/>
    </w:rPr>
  </w:style>
  <w:style w:type="paragraph" w:customStyle="1" w:styleId="68">
    <w:name w:val="xl104"/>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top"/>
    </w:pPr>
    <w:rPr>
      <w:rFonts w:ascii="方正仿宋_GBK" w:hAnsi="宋体" w:eastAsia="方正仿宋_GBK" w:cs="宋体"/>
      <w:kern w:val="0"/>
      <w:sz w:val="24"/>
    </w:rPr>
  </w:style>
  <w:style w:type="paragraph" w:customStyle="1" w:styleId="69">
    <w:name w:val="xl105"/>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方正仿宋_GBK" w:hAnsi="宋体" w:eastAsia="方正仿宋_GBK" w:cs="宋体"/>
      <w:kern w:val="0"/>
      <w:sz w:val="24"/>
    </w:rPr>
  </w:style>
  <w:style w:type="paragraph" w:customStyle="1" w:styleId="70">
    <w:name w:val="xl106"/>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pPr>
    <w:rPr>
      <w:rFonts w:ascii="方正仿宋_GBK" w:hAnsi="宋体" w:eastAsia="方正仿宋_GBK" w:cs="宋体"/>
      <w:kern w:val="0"/>
      <w:sz w:val="24"/>
    </w:rPr>
  </w:style>
  <w:style w:type="paragraph" w:customStyle="1" w:styleId="71">
    <w:name w:val="xl107"/>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方正仿宋_GBK" w:hAnsi="宋体" w:eastAsia="方正仿宋_GBK" w:cs="宋体"/>
      <w:color w:val="000000"/>
      <w:kern w:val="0"/>
      <w:sz w:val="24"/>
    </w:rPr>
  </w:style>
  <w:style w:type="paragraph" w:customStyle="1" w:styleId="72">
    <w:name w:val="xl10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hAnsi="宋体" w:eastAsia="方正仿宋_GBK" w:cs="宋体"/>
      <w:color w:val="000000"/>
      <w:kern w:val="0"/>
      <w:sz w:val="24"/>
    </w:rPr>
  </w:style>
  <w:style w:type="paragraph" w:customStyle="1" w:styleId="73">
    <w:name w:val="xl109"/>
    <w:basedOn w:val="1"/>
    <w:uiPriority w:val="0"/>
    <w:pPr>
      <w:widowControl/>
      <w:pBdr>
        <w:top w:val="single" w:color="auto" w:sz="4" w:space="0"/>
        <w:bottom w:val="single" w:color="auto" w:sz="4" w:space="0"/>
      </w:pBdr>
      <w:spacing w:before="100" w:beforeAutospacing="1" w:after="100" w:afterAutospacing="1"/>
      <w:jc w:val="center"/>
    </w:pPr>
    <w:rPr>
      <w:rFonts w:ascii="方正黑体_GBK" w:hAnsi="宋体" w:eastAsia="方正黑体_GBK" w:cs="宋体"/>
      <w:kern w:val="0"/>
      <w:sz w:val="24"/>
    </w:rPr>
  </w:style>
  <w:style w:type="paragraph" w:customStyle="1" w:styleId="74">
    <w:name w:val="Default"/>
    <w:qFormat/>
    <w:uiPriority w:val="0"/>
    <w:pPr>
      <w:widowControl w:val="0"/>
      <w:autoSpaceDE w:val="0"/>
      <w:autoSpaceDN w:val="0"/>
      <w:adjustRightInd w:val="0"/>
    </w:pPr>
    <w:rPr>
      <w:rFonts w:ascii="仿宋_GB2312" w:hAnsi="Calibri" w:eastAsia="仿宋_GB2312" w:cs="仿宋_GB2312"/>
      <w:color w:val="000000"/>
      <w:sz w:val="24"/>
      <w:szCs w:val="24"/>
    </w:rPr>
  </w:style>
  <w:style w:type="paragraph" w:customStyle="1" w:styleId="75">
    <w:name w:val="正文文本 (3)"/>
    <w:basedOn w:val="1"/>
    <w:qFormat/>
    <w:uiPriority w:val="0"/>
    <w:pPr>
      <w:shd w:val="clear" w:color="auto" w:fill="FFFFFF"/>
      <w:spacing w:before="60" w:after="1340" w:line="280" w:lineRule="exact"/>
      <w:jc w:val="right"/>
    </w:pPr>
    <w:rPr>
      <w:rFonts w:ascii="MingLiU" w:hAnsi="MingLiU" w:eastAsia="MingLiU" w:cs="MingLiU"/>
      <w:spacing w:val="20"/>
      <w:sz w:val="28"/>
      <w:szCs w:val="28"/>
    </w:rPr>
  </w:style>
  <w:style w:type="paragraph" w:customStyle="1" w:styleId="76">
    <w:name w:val="正文文本 (2)"/>
    <w:basedOn w:val="1"/>
    <w:link w:val="91"/>
    <w:qFormat/>
    <w:uiPriority w:val="0"/>
    <w:pPr>
      <w:shd w:val="clear" w:color="auto" w:fill="FFFFFF"/>
      <w:spacing w:line="238" w:lineRule="exact"/>
      <w:jc w:val="distribute"/>
    </w:pPr>
    <w:rPr>
      <w:rFonts w:ascii="MingLiU" w:hAnsi="MingLiU" w:eastAsia="MingLiU" w:cs="MingLiU"/>
      <w:spacing w:val="10"/>
      <w:sz w:val="17"/>
      <w:szCs w:val="17"/>
    </w:rPr>
  </w:style>
  <w:style w:type="paragraph" w:customStyle="1" w:styleId="77">
    <w:name w:val="正文文本 (7)"/>
    <w:basedOn w:val="1"/>
    <w:link w:val="95"/>
    <w:qFormat/>
    <w:uiPriority w:val="0"/>
    <w:pPr>
      <w:shd w:val="clear" w:color="auto" w:fill="FFFFFF"/>
      <w:spacing w:line="216" w:lineRule="exact"/>
      <w:jc w:val="distribute"/>
    </w:pPr>
    <w:rPr>
      <w:rFonts w:ascii="MingLiU" w:hAnsi="MingLiU" w:eastAsia="MingLiU" w:cs="MingLiU"/>
      <w:spacing w:val="20"/>
      <w:sz w:val="16"/>
      <w:szCs w:val="16"/>
    </w:rPr>
  </w:style>
  <w:style w:type="paragraph" w:customStyle="1" w:styleId="78">
    <w:name w:val="TOC Heading"/>
    <w:basedOn w:val="2"/>
    <w:next w:val="1"/>
    <w:unhideWhenUsed/>
    <w:qFormat/>
    <w:uiPriority w:val="39"/>
    <w:pPr>
      <w:widowControl/>
      <w:spacing w:before="240" w:after="0" w:line="259" w:lineRule="auto"/>
      <w:jc w:val="left"/>
      <w:outlineLvl w:val="9"/>
    </w:pPr>
    <w:rPr>
      <w:rFonts w:ascii="Calibri Light" w:hAnsi="Calibri Light" w:eastAsia="宋体" w:cs="黑体"/>
      <w:b w:val="0"/>
      <w:bCs w:val="0"/>
      <w:color w:val="2D73B3"/>
      <w:kern w:val="0"/>
      <w:sz w:val="32"/>
      <w:szCs w:val="32"/>
    </w:rPr>
  </w:style>
  <w:style w:type="paragraph" w:customStyle="1" w:styleId="79">
    <w:name w:val="TOC 标题1"/>
    <w:basedOn w:val="2"/>
    <w:next w:val="1"/>
    <w:unhideWhenUsed/>
    <w:qFormat/>
    <w:uiPriority w:val="39"/>
    <w:pPr>
      <w:widowControl/>
      <w:spacing w:before="240" w:after="0" w:line="259" w:lineRule="auto"/>
      <w:jc w:val="left"/>
      <w:outlineLvl w:val="9"/>
    </w:pPr>
    <w:rPr>
      <w:rFonts w:ascii="Calibri Light" w:hAnsi="Calibri Light" w:eastAsia="宋体" w:cs="黑体"/>
      <w:b w:val="0"/>
      <w:bCs w:val="0"/>
      <w:color w:val="2D73B3"/>
      <w:kern w:val="0"/>
      <w:sz w:val="32"/>
      <w:szCs w:val="32"/>
    </w:rPr>
  </w:style>
  <w:style w:type="character" w:customStyle="1" w:styleId="80">
    <w:name w:val="页脚 Char"/>
    <w:basedOn w:val="12"/>
    <w:link w:val="7"/>
    <w:qFormat/>
    <w:uiPriority w:val="99"/>
    <w:rPr>
      <w:kern w:val="2"/>
      <w:sz w:val="18"/>
      <w:szCs w:val="24"/>
    </w:rPr>
  </w:style>
  <w:style w:type="character" w:customStyle="1" w:styleId="81">
    <w:name w:val="页眉 Char"/>
    <w:basedOn w:val="12"/>
    <w:link w:val="8"/>
    <w:qFormat/>
    <w:uiPriority w:val="99"/>
    <w:rPr>
      <w:kern w:val="2"/>
      <w:sz w:val="18"/>
      <w:szCs w:val="24"/>
    </w:rPr>
  </w:style>
  <w:style w:type="character" w:customStyle="1" w:styleId="82">
    <w:name w:val="正文文本 Char"/>
    <w:basedOn w:val="12"/>
    <w:link w:val="4"/>
    <w:qFormat/>
    <w:uiPriority w:val="1"/>
    <w:rPr>
      <w:rFonts w:ascii="方正小标宋_GBK" w:hAnsi="方正小标宋_GBK" w:eastAsia="方正小标宋_GBK" w:cs="方正小标宋_GBK"/>
      <w:sz w:val="32"/>
      <w:szCs w:val="32"/>
      <w:lang w:val="zh-CN" w:bidi="zh-CN"/>
    </w:rPr>
  </w:style>
  <w:style w:type="character" w:customStyle="1" w:styleId="83">
    <w:name w:val="Other|1_"/>
    <w:link w:val="51"/>
    <w:qFormat/>
    <w:uiPriority w:val="0"/>
    <w:rPr>
      <w:rFonts w:ascii="宋体" w:hAnsi="宋体" w:cs="宋体"/>
      <w:lang w:val="zh-TW" w:eastAsia="zh-TW" w:bidi="zh-TW"/>
    </w:rPr>
  </w:style>
  <w:style w:type="character" w:customStyle="1" w:styleId="84">
    <w:name w:val="批注框文本 Char"/>
    <w:link w:val="6"/>
    <w:qFormat/>
    <w:uiPriority w:val="0"/>
    <w:rPr>
      <w:kern w:val="2"/>
      <w:sz w:val="18"/>
      <w:szCs w:val="18"/>
    </w:rPr>
  </w:style>
  <w:style w:type="character" w:customStyle="1" w:styleId="85">
    <w:name w:val="15"/>
    <w:qFormat/>
    <w:uiPriority w:val="0"/>
    <w:rPr>
      <w:rFonts w:hint="eastAsia" w:ascii="宋体" w:hAnsi="宋体" w:eastAsia="宋体" w:cs="Times New Roman"/>
      <w:color w:val="000000"/>
      <w:sz w:val="24"/>
      <w:szCs w:val="24"/>
    </w:rPr>
  </w:style>
  <w:style w:type="character" w:customStyle="1" w:styleId="86">
    <w:name w:val="Body text|1_"/>
    <w:link w:val="50"/>
    <w:qFormat/>
    <w:uiPriority w:val="0"/>
    <w:rPr>
      <w:rFonts w:ascii="宋体" w:hAnsi="宋体" w:cs="宋体"/>
      <w:sz w:val="28"/>
      <w:szCs w:val="28"/>
      <w:lang w:val="zh-TW" w:eastAsia="zh-TW" w:bidi="zh-TW"/>
    </w:rPr>
  </w:style>
  <w:style w:type="character" w:customStyle="1" w:styleId="87">
    <w:name w:val="批注框文本 Char1"/>
    <w:basedOn w:val="12"/>
    <w:qFormat/>
    <w:uiPriority w:val="0"/>
    <w:rPr>
      <w:kern w:val="2"/>
      <w:sz w:val="18"/>
      <w:szCs w:val="18"/>
    </w:rPr>
  </w:style>
  <w:style w:type="character" w:customStyle="1" w:styleId="88">
    <w:name w:val="文档结构图 Char"/>
    <w:link w:val="3"/>
    <w:qFormat/>
    <w:uiPriority w:val="0"/>
    <w:rPr>
      <w:rFonts w:ascii="宋体"/>
      <w:kern w:val="2"/>
      <w:sz w:val="18"/>
      <w:szCs w:val="18"/>
    </w:rPr>
  </w:style>
  <w:style w:type="character" w:customStyle="1" w:styleId="89">
    <w:name w:val="文档结构图 Char1"/>
    <w:basedOn w:val="12"/>
    <w:qFormat/>
    <w:uiPriority w:val="0"/>
    <w:rPr>
      <w:rFonts w:ascii="Microsoft YaHei UI" w:eastAsia="Microsoft YaHei UI"/>
      <w:kern w:val="2"/>
      <w:sz w:val="18"/>
      <w:szCs w:val="18"/>
    </w:rPr>
  </w:style>
  <w:style w:type="character" w:customStyle="1" w:styleId="90">
    <w:name w:val="font21"/>
    <w:basedOn w:val="12"/>
    <w:qFormat/>
    <w:uiPriority w:val="0"/>
    <w:rPr>
      <w:rFonts w:hint="default" w:ascii="仿宋_GB2312" w:eastAsia="仿宋_GB2312" w:cs="仿宋_GB2312"/>
      <w:b/>
      <w:color w:val="000000"/>
      <w:sz w:val="18"/>
      <w:szCs w:val="18"/>
      <w:u w:val="none"/>
    </w:rPr>
  </w:style>
  <w:style w:type="character" w:customStyle="1" w:styleId="91">
    <w:name w:val="正文文本 (2) Exact"/>
    <w:basedOn w:val="12"/>
    <w:link w:val="76"/>
    <w:qFormat/>
    <w:uiPriority w:val="0"/>
    <w:rPr>
      <w:rFonts w:ascii="MingLiU" w:hAnsi="MingLiU" w:eastAsia="MingLiU" w:cs="MingLiU"/>
      <w:spacing w:val="10"/>
      <w:kern w:val="2"/>
      <w:sz w:val="17"/>
      <w:szCs w:val="17"/>
      <w:shd w:val="clear" w:color="auto" w:fill="FFFFFF"/>
    </w:rPr>
  </w:style>
  <w:style w:type="character" w:customStyle="1" w:styleId="92">
    <w:name w:val="正文文本 (2) + 间距 1 pt Exact"/>
    <w:basedOn w:val="91"/>
    <w:qFormat/>
    <w:uiPriority w:val="0"/>
    <w:rPr>
      <w:rFonts w:ascii="MingLiU" w:hAnsi="MingLiU" w:eastAsia="MingLiU" w:cs="MingLiU"/>
      <w:color w:val="000000"/>
      <w:spacing w:val="30"/>
      <w:w w:val="100"/>
      <w:kern w:val="2"/>
      <w:position w:val="0"/>
      <w:sz w:val="17"/>
      <w:szCs w:val="17"/>
      <w:u w:val="none"/>
      <w:shd w:val="clear" w:color="auto" w:fill="FFFFFF"/>
      <w:lang w:val="zh-CN" w:eastAsia="zh-CN" w:bidi="zh-CN"/>
    </w:rPr>
  </w:style>
  <w:style w:type="character" w:customStyle="1" w:styleId="93">
    <w:name w:val="正文文本 (2) + 间距 3 pt Exact"/>
    <w:basedOn w:val="91"/>
    <w:qFormat/>
    <w:uiPriority w:val="0"/>
    <w:rPr>
      <w:rFonts w:ascii="MingLiU" w:hAnsi="MingLiU" w:eastAsia="MingLiU" w:cs="MingLiU"/>
      <w:color w:val="000000"/>
      <w:spacing w:val="60"/>
      <w:w w:val="100"/>
      <w:kern w:val="2"/>
      <w:position w:val="0"/>
      <w:sz w:val="17"/>
      <w:szCs w:val="17"/>
      <w:u w:val="none"/>
      <w:shd w:val="clear" w:color="auto" w:fill="FFFFFF"/>
      <w:lang w:val="zh-CN" w:eastAsia="zh-CN" w:bidi="zh-CN"/>
    </w:rPr>
  </w:style>
  <w:style w:type="character" w:customStyle="1" w:styleId="94">
    <w:name w:val="正文文本 (7) Exact1"/>
    <w:basedOn w:val="95"/>
    <w:qFormat/>
    <w:uiPriority w:val="0"/>
    <w:rPr>
      <w:rFonts w:ascii="MingLiU" w:hAnsi="MingLiU" w:eastAsia="MingLiU" w:cs="MingLiU"/>
      <w:color w:val="000000"/>
      <w:spacing w:val="20"/>
      <w:w w:val="100"/>
      <w:kern w:val="2"/>
      <w:position w:val="0"/>
      <w:sz w:val="16"/>
      <w:szCs w:val="16"/>
      <w:u w:val="single"/>
      <w:shd w:val="clear" w:color="auto" w:fill="FFFFFF"/>
      <w:lang w:val="zh-CN" w:eastAsia="zh-CN" w:bidi="zh-CN"/>
    </w:rPr>
  </w:style>
  <w:style w:type="character" w:customStyle="1" w:styleId="95">
    <w:name w:val="正文文本 (7) Exact"/>
    <w:basedOn w:val="12"/>
    <w:link w:val="77"/>
    <w:qFormat/>
    <w:uiPriority w:val="0"/>
    <w:rPr>
      <w:rFonts w:ascii="MingLiU" w:hAnsi="MingLiU" w:eastAsia="MingLiU" w:cs="MingLiU"/>
      <w:spacing w:val="20"/>
      <w:kern w:val="2"/>
      <w:sz w:val="16"/>
      <w:szCs w:val="16"/>
      <w:shd w:val="clear" w:color="auto" w:fill="FFFFFF"/>
    </w:rPr>
  </w:style>
  <w:style w:type="character" w:customStyle="1" w:styleId="96">
    <w:name w:val="日期 Char"/>
    <w:basedOn w:val="12"/>
    <w:link w:val="5"/>
    <w:qFormat/>
    <w:locked/>
    <w:uiPriority w:val="0"/>
    <w:rPr>
      <w:rFonts w:ascii="Calibri" w:hAnsi="Calibri" w:eastAsia="宋体" w:cs="Calibri"/>
      <w:kern w:val="2"/>
      <w:sz w:val="21"/>
      <w:szCs w:val="21"/>
    </w:rPr>
  </w:style>
  <w:style w:type="character" w:customStyle="1" w:styleId="97">
    <w:name w:val="日期 Char1"/>
    <w:basedOn w:val="12"/>
    <w:qFormat/>
    <w:uiPriority w:val="0"/>
    <w:rPr>
      <w:kern w:val="2"/>
      <w:sz w:val="21"/>
      <w:szCs w:val="24"/>
    </w:rPr>
  </w:style>
  <w:style w:type="character" w:customStyle="1" w:styleId="98">
    <w:name w:val="标题 1 Char"/>
    <w:basedOn w:val="12"/>
    <w:link w:val="2"/>
    <w:qFormat/>
    <w:uiPriority w:val="0"/>
    <w:rPr>
      <w:b/>
      <w:bCs/>
      <w:kern w:val="44"/>
      <w:sz w:val="44"/>
      <w:szCs w:val="4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857</Pages>
  <Words>132227</Words>
  <Characters>753699</Characters>
  <Lines>6280</Lines>
  <Paragraphs>1768</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2020-06-11T00:18:00Z</dcterms:created>
  <dc:creator>dzb</dc:creator>
  <cp:lastModifiedBy>龙启正</cp:lastModifiedBy>
  <cp:lastPrinted>2020-10-22T03:42:00Z</cp:lastPrinted>
  <dcterms:modified xsi:type="dcterms:W3CDTF">2020-10-28T08:53:39Z</dcterms:modified>
  <dc:title>十九、涉农补贴领域基层政务公开标准目录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