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hint="eastAsia" w:ascii="方正小标宋_GBK" w:eastAsia="方正小标宋_GBK"/>
          <w:sz w:val="44"/>
          <w:szCs w:val="54"/>
        </w:rPr>
      </w:pPr>
      <w:r>
        <w:rPr>
          <w:rFonts w:hint="eastAsia" w:ascii="方正小标宋_GBK" w:eastAsia="方正小标宋_GBK"/>
          <w:sz w:val="44"/>
          <w:szCs w:val="54"/>
        </w:rPr>
        <w:t>重庆市九龙坡公证处</w:t>
      </w:r>
    </w:p>
    <w:p>
      <w:pPr>
        <w:widowControl/>
        <w:spacing w:line="560" w:lineRule="exact"/>
        <w:jc w:val="center"/>
        <w:rPr>
          <w:rFonts w:ascii="方正小标宋_GBK" w:eastAsia="方正小标宋_GBK"/>
          <w:sz w:val="20"/>
        </w:rPr>
      </w:pPr>
      <w:r>
        <w:rPr>
          <w:rFonts w:hint="eastAsia" w:ascii="方正小标宋_GBK" w:eastAsia="方正小标宋_GBK"/>
          <w:sz w:val="44"/>
          <w:szCs w:val="54"/>
        </w:rPr>
        <w:t>2022年度单位决算情况说明</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一、部门基本情况</w:t>
      </w:r>
    </w:p>
    <w:p>
      <w:pPr>
        <w:adjustRightInd w:val="0"/>
        <w:snapToGrid w:val="0"/>
        <w:spacing w:line="560" w:lineRule="exact"/>
        <w:ind w:firstLine="640" w:firstLineChars="200"/>
        <w:rPr>
          <w:rFonts w:ascii="方正楷体_GBK" w:eastAsia="方正楷体_GBK" w:cs="仿宋_GB2312"/>
        </w:rPr>
      </w:pPr>
      <w:r>
        <w:rPr>
          <w:rFonts w:hint="eastAsia" w:ascii="方正楷体_GBK" w:eastAsia="方正楷体_GBK" w:cs="仿宋_GB2312"/>
        </w:rPr>
        <w:t>（一）职能职责</w:t>
      </w:r>
    </w:p>
    <w:p>
      <w:pPr>
        <w:adjustRightInd w:val="0"/>
        <w:snapToGrid w:val="0"/>
        <w:spacing w:line="560" w:lineRule="exact"/>
        <w:ind w:firstLine="640" w:firstLineChars="200"/>
        <w:rPr>
          <w:rFonts w:ascii="方正仿宋_GBK"/>
        </w:rPr>
      </w:pPr>
      <w:r>
        <w:rPr>
          <w:rFonts w:hint="eastAsia" w:ascii="方正仿宋_GBK"/>
        </w:rPr>
        <w:t>九龙坡公证处职能职责主要包括依法开展公证工作；对社会性活动实施法律监督，维护正常的经济秩序；宣传贯彻有关公证的法律法规，引导公民、法人和其他组织遵守法律，维护社会主义法制秩序；对符合法律援助条件的对象提供公证法律援助。</w:t>
      </w:r>
    </w:p>
    <w:p>
      <w:pPr>
        <w:adjustRightInd w:val="0"/>
        <w:snapToGrid w:val="0"/>
        <w:spacing w:line="560" w:lineRule="exact"/>
        <w:ind w:firstLine="640" w:firstLineChars="200"/>
        <w:rPr>
          <w:rFonts w:ascii="方正楷体_GBK" w:eastAsia="方正楷体_GBK" w:cs="仿宋_GB2312"/>
        </w:rPr>
      </w:pPr>
      <w:r>
        <w:rPr>
          <w:rFonts w:hint="eastAsia" w:ascii="方正楷体_GBK" w:eastAsia="方正楷体_GBK" w:cs="仿宋_GB2312"/>
        </w:rPr>
        <w:t>（二）机构设置</w:t>
      </w:r>
    </w:p>
    <w:p>
      <w:pPr>
        <w:adjustRightInd w:val="0"/>
        <w:snapToGrid w:val="0"/>
        <w:spacing w:line="560" w:lineRule="exact"/>
        <w:ind w:firstLine="640" w:firstLineChars="200"/>
        <w:rPr>
          <w:rFonts w:cs="仿宋_GB2312"/>
        </w:rPr>
      </w:pPr>
      <w:r>
        <w:rPr>
          <w:rFonts w:hint="eastAsia" w:ascii="方正仿宋_GBK"/>
        </w:rPr>
        <w:t>重庆市九龙坡公证处是九龙坡区司法局下属自收自支事业单位</w:t>
      </w:r>
      <w:r>
        <w:rPr>
          <w:rFonts w:hint="eastAsia" w:cs="仿宋_GB2312"/>
        </w:rPr>
        <w:t>。</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二、部门决算情况说明</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（一）收入支出决算总体情况说明</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1.总体情况</w:t>
      </w:r>
      <w:r>
        <w:rPr>
          <w:rFonts w:hint="eastAsia" w:ascii="方正仿宋_GBK" w:hAnsi="宋体" w:cs="宋体"/>
          <w:kern w:val="0"/>
          <w:szCs w:val="32"/>
        </w:rPr>
        <w:t>。</w:t>
      </w:r>
      <w:r>
        <w:t>2022年度收入总计540.06万元，支出总计540.06万元。收支较上年决算数增加540.06万元</w:t>
      </w:r>
      <w:r>
        <w:rPr>
          <w:rFonts w:hint="eastAsia" w:ascii="方正仿宋_GBK" w:hAnsi="宋体" w:cs="宋体"/>
          <w:kern w:val="0"/>
          <w:szCs w:val="32"/>
        </w:rPr>
        <w:t>,增长100%，主要原因是二级单位分离，独立核算。</w:t>
      </w:r>
    </w:p>
    <w:p>
      <w:pPr>
        <w:spacing w:line="560" w:lineRule="exact"/>
        <w:ind w:firstLine="630" w:firstLineChars="196"/>
      </w:pPr>
      <w:r>
        <w:rPr>
          <w:rFonts w:hint="eastAsia" w:ascii="方正仿宋_GBK"/>
          <w:b/>
          <w:bCs/>
        </w:rPr>
        <w:t>2.收入情况</w:t>
      </w:r>
      <w:r>
        <w:rPr>
          <w:rFonts w:hint="eastAsia"/>
          <w:b/>
          <w:bCs/>
        </w:rPr>
        <w:t>。</w:t>
      </w:r>
      <w:r>
        <w:t>2022年度收入合计540.06万元，较上年决算数增加540.06万元</w:t>
      </w:r>
      <w:r>
        <w:rPr>
          <w:rFonts w:hint="eastAsia" w:ascii="方正仿宋_GBK"/>
        </w:rPr>
        <w:t>,增长100%</w:t>
      </w:r>
      <w:r>
        <w:rPr>
          <w:rFonts w:hint="eastAsia"/>
        </w:rPr>
        <w:t>，主要原因是二级单位分离，独立核算。其中：财政拨款收入540.06万元，占100%。</w:t>
      </w:r>
    </w:p>
    <w:p>
      <w:pPr>
        <w:spacing w:line="560" w:lineRule="exact"/>
        <w:ind w:firstLine="643" w:firstLineChars="200"/>
      </w:pPr>
      <w:r>
        <w:rPr>
          <w:rFonts w:hint="eastAsia"/>
          <w:b/>
          <w:bCs/>
        </w:rPr>
        <w:t>3.支出情况。</w:t>
      </w:r>
      <w:r>
        <w:t>2022年度支出合计540.06万元，较上年决算增加540.06万元</w:t>
      </w:r>
      <w:r>
        <w:rPr>
          <w:rFonts w:hint="eastAsia"/>
        </w:rPr>
        <w:t>，增长100%，主要原因是二级单位分离，独立核算。其中：</w:t>
      </w:r>
      <w:r>
        <w:t>基本支出294.23万元，占54.5%；项目支出245.83万元，占45.5%</w:t>
      </w:r>
      <w:r>
        <w:rPr>
          <w:rFonts w:hint="eastAsia"/>
        </w:rPr>
        <w:t>。</w:t>
      </w:r>
    </w:p>
    <w:p>
      <w:pPr>
        <w:spacing w:line="560" w:lineRule="exact"/>
        <w:ind w:firstLine="643" w:firstLineChars="200"/>
        <w:rPr>
          <w:rFonts w:ascii="方正仿宋_GBK" w:hAnsi="宋体" w:cs="宋体"/>
          <w:kern w:val="0"/>
          <w:szCs w:val="32"/>
        </w:rPr>
      </w:pPr>
      <w:r>
        <w:rPr>
          <w:rFonts w:hint="eastAsia" w:ascii="方正仿宋_GBK" w:hAnsi="宋体" w:cs="宋体"/>
          <w:b/>
          <w:bCs/>
          <w:kern w:val="0"/>
        </w:rPr>
        <w:t xml:space="preserve"> 4.结转结余情况。</w:t>
      </w:r>
      <w:r>
        <w:rPr>
          <w:rFonts w:hint="eastAsia" w:ascii="方正仿宋_GBK" w:hAnsi="宋体" w:cs="宋体"/>
          <w:kern w:val="0"/>
          <w:szCs w:val="32"/>
        </w:rPr>
        <w:t>2022年度年末结转和结余0万元，较上年决算数增加0万元，增长0%，主要原因是我单位是财政全额拨款单位，收支平衡。</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（二）财政拨款收入支出决算总体情况说明</w:t>
      </w:r>
    </w:p>
    <w:p>
      <w:pPr>
        <w:widowControl/>
        <w:spacing w:line="560" w:lineRule="exact"/>
        <w:ind w:firstLine="640" w:firstLineChars="200"/>
        <w:jc w:val="left"/>
        <w:rPr>
          <w:rFonts w:ascii="方正仿宋_GBK" w:hAnsi="宋体" w:cs="宋体"/>
          <w:kern w:val="0"/>
          <w:szCs w:val="32"/>
        </w:rPr>
      </w:pPr>
      <w:r>
        <w:t>2022年度财政拨款收、支总计540.06万元。与2021年相比，财政拨款收、支总计各增加540.06万元</w:t>
      </w:r>
      <w:r>
        <w:rPr>
          <w:rFonts w:hint="eastAsia" w:ascii="方正仿宋_GBK" w:hAnsi="宋体" w:cs="宋体"/>
          <w:kern w:val="0"/>
          <w:szCs w:val="32"/>
        </w:rPr>
        <w:t>，增长率100%。主要原因是二级单位分离，独立核算。</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（三）一般公共预算财政拨款支出决算情况说明</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1.收入情况。</w:t>
      </w:r>
      <w:r>
        <w:t>2022年度一般公共预算财政拨款收入540.06万元，较上年决算数增加540.06万元</w:t>
      </w:r>
      <w:r>
        <w:rPr>
          <w:rFonts w:hint="eastAsia" w:ascii="方正仿宋_GBK" w:hAnsi="宋体" w:cs="宋体"/>
          <w:kern w:val="0"/>
          <w:szCs w:val="32"/>
        </w:rPr>
        <w:t>，增长率100%。主要原因是二级单位分离，独立核算。</w:t>
      </w:r>
      <w:r>
        <w:t>较年初预算数增加78.96万元，增长17.1%</w:t>
      </w:r>
      <w:r>
        <w:rPr>
          <w:rFonts w:hint="eastAsia" w:ascii="方正仿宋_GBK" w:hAnsi="宋体" w:cs="宋体"/>
          <w:kern w:val="0"/>
          <w:szCs w:val="32"/>
        </w:rPr>
        <w:t>。主要原因是项目经费增加。此外，年初财政拨款结转和结余0万元。</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2.支出情况。</w:t>
      </w:r>
      <w:r>
        <w:t>2022年度一般公共预算财政拨款支出540.06万元，较上年决算数增加540.06万元</w:t>
      </w:r>
      <w:r>
        <w:rPr>
          <w:rFonts w:hint="eastAsia" w:ascii="方正仿宋_GBK" w:hAnsi="宋体" w:cs="宋体"/>
          <w:kern w:val="0"/>
          <w:szCs w:val="32"/>
        </w:rPr>
        <w:t>，增长100%。主要原因是二级单位分离，独立核算。</w:t>
      </w:r>
      <w:r>
        <w:t>较年初预算数增加78.96万元，增长17.1%</w:t>
      </w:r>
      <w:r>
        <w:rPr>
          <w:rFonts w:hint="eastAsia" w:ascii="方正仿宋_GBK" w:hAnsi="宋体" w:cs="宋体"/>
          <w:kern w:val="0"/>
          <w:szCs w:val="32"/>
        </w:rPr>
        <w:t>。主要原因是项目经费增加。</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3.比较情况</w:t>
      </w:r>
      <w:r>
        <w:rPr>
          <w:rFonts w:hint="eastAsia" w:ascii="方正仿宋_GBK" w:hAnsi="宋体" w:cs="宋体"/>
          <w:kern w:val="0"/>
          <w:szCs w:val="32"/>
        </w:rPr>
        <w:t>。本单位2022年度一般公共预算财政拨款支出主要用于以下几个方面：</w:t>
      </w:r>
      <w:r>
        <w:rPr>
          <w:rFonts w:ascii="方正仿宋_GBK" w:hAnsi="宋体" w:cs="宋体"/>
          <w:kern w:val="0"/>
          <w:szCs w:val="32"/>
        </w:rPr>
        <w:t xml:space="preserve"> </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（1）</w:t>
      </w:r>
      <w:r>
        <w:t>公共安全支出501.99万元，占93%，较年初预算数增加78.96万元，增长18.7%</w:t>
      </w:r>
      <w:r>
        <w:rPr>
          <w:rFonts w:hint="eastAsia" w:ascii="方正仿宋_GBK" w:hAnsi="宋体" w:cs="宋体"/>
          <w:kern w:val="0"/>
          <w:szCs w:val="32"/>
        </w:rPr>
        <w:t>，主要原因是项目经费支出增加，增加一个办证地点。</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w:t>
      </w:r>
      <w:r>
        <w:t>社会保障与就业支出11.52万元，占2.1%</w:t>
      </w:r>
      <w:r>
        <w:rPr>
          <w:rFonts w:hint="eastAsia" w:ascii="方正仿宋_GBK" w:hAnsi="宋体" w:cs="宋体"/>
          <w:kern w:val="0"/>
          <w:szCs w:val="32"/>
        </w:rPr>
        <w:t>，</w:t>
      </w:r>
      <w:r>
        <w:t>较年初预算数增加0.00万元，增长0%</w:t>
      </w:r>
      <w:r>
        <w:rPr>
          <w:rFonts w:hint="eastAsia"/>
        </w:rPr>
        <w:t>，</w:t>
      </w:r>
      <w:r>
        <w:rPr>
          <w:rFonts w:hint="eastAsia" w:ascii="方正仿宋_GBK" w:hAnsi="宋体" w:cs="宋体"/>
          <w:kern w:val="0"/>
          <w:szCs w:val="32"/>
        </w:rPr>
        <w:t>主要原因是无人员变动。</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（3）</w:t>
      </w:r>
      <w:r>
        <w:t>卫生健康支出6.61万元，占1.2%，较年初预算数增加0.00万元，增长0%</w:t>
      </w:r>
      <w:r>
        <w:rPr>
          <w:rFonts w:hint="eastAsia" w:ascii="方正仿宋_GBK" w:hAnsi="宋体" w:cs="宋体"/>
          <w:kern w:val="0"/>
          <w:szCs w:val="32"/>
        </w:rPr>
        <w:t>，主要原因是无人员变动。</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（4）</w:t>
      </w:r>
      <w:r>
        <w:t>住房保障支出19.95万元，占3.7%，较年初预算数增加0.00万元，增长0%</w:t>
      </w:r>
      <w:r>
        <w:rPr>
          <w:rFonts w:hint="eastAsia"/>
        </w:rPr>
        <w:t>，</w:t>
      </w:r>
      <w:r>
        <w:rPr>
          <w:rFonts w:hint="eastAsia" w:ascii="方正仿宋_GBK" w:hAnsi="宋体" w:cs="宋体"/>
          <w:kern w:val="0"/>
          <w:szCs w:val="32"/>
        </w:rPr>
        <w:t>主要原因是无人员变动。</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（四）一般公共预算财政拨款基本支出决算情况说明</w:t>
      </w:r>
    </w:p>
    <w:p>
      <w:pPr>
        <w:widowControl/>
        <w:spacing w:line="560" w:lineRule="exact"/>
        <w:ind w:firstLine="640" w:firstLineChars="200"/>
        <w:jc w:val="left"/>
        <w:rPr>
          <w:rFonts w:ascii="方正仿宋_GBK" w:hAnsi="宋体" w:cs="宋体"/>
          <w:kern w:val="0"/>
          <w:szCs w:val="32"/>
        </w:rPr>
      </w:pPr>
      <w:r>
        <w:t>2022年度一般公共预算财政拨款基本支出294.23万元。其中：人员经费190.36万元，较上年决算数增加190.36万元，增长</w:t>
      </w:r>
      <w:r>
        <w:rPr>
          <w:rFonts w:hint="eastAsia"/>
        </w:rPr>
        <w:t>100</w:t>
      </w:r>
      <w:r>
        <w:t>%</w:t>
      </w:r>
      <w:r>
        <w:rPr>
          <w:rFonts w:hint="eastAsia" w:ascii="方正仿宋_GBK" w:hAnsi="宋体" w:cs="宋体"/>
          <w:kern w:val="0"/>
          <w:szCs w:val="32"/>
        </w:rPr>
        <w:t>，主要原因是二级单位分离。人员经费用途主要包括</w:t>
      </w:r>
      <w:r>
        <w:rPr>
          <w:rFonts w:hint="eastAsia"/>
          <w:szCs w:val="32"/>
        </w:rPr>
        <w:t>基本工资、津贴补贴、奖金、社会保障缴费、住房公积金等</w:t>
      </w:r>
      <w:r>
        <w:rPr>
          <w:rFonts w:hint="eastAsia" w:ascii="方正仿宋_GBK" w:hAnsi="宋体" w:cs="宋体"/>
          <w:kern w:val="0"/>
          <w:szCs w:val="32"/>
        </w:rPr>
        <w:t>。</w:t>
      </w:r>
      <w:r>
        <w:t>公用经费103.87万元，较上年决算数增加103.87万元，增长</w:t>
      </w:r>
      <w:r>
        <w:rPr>
          <w:rFonts w:hint="eastAsia"/>
        </w:rPr>
        <w:t>100</w:t>
      </w:r>
      <w:r>
        <w:t>%</w:t>
      </w:r>
      <w:r>
        <w:rPr>
          <w:rFonts w:hint="eastAsia" w:ascii="方正仿宋_GBK" w:hAnsi="宋体" w:cs="宋体"/>
          <w:kern w:val="0"/>
          <w:szCs w:val="32"/>
        </w:rPr>
        <w:t>。主要原因是二级单位分离，独立核算。公用经费用途主要包括</w:t>
      </w:r>
      <w:r>
        <w:rPr>
          <w:rFonts w:hint="eastAsia"/>
          <w:szCs w:val="32"/>
        </w:rPr>
        <w:t>办公费、工会经费、三公经费等</w:t>
      </w:r>
      <w:r>
        <w:rPr>
          <w:rFonts w:hint="eastAsia" w:ascii="方正仿宋_GBK" w:hAnsi="宋体" w:cs="宋体"/>
          <w:kern w:val="0"/>
          <w:szCs w:val="32"/>
        </w:rPr>
        <w:t>。</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（五）政府性基金预算收支决算情况说明</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本单位2022年度无政府性基金预算财政拨款支出。</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（六）国有资本经营预算财政拨款支出决算情况说明</w:t>
      </w:r>
    </w:p>
    <w:p>
      <w:pPr>
        <w:widowControl/>
        <w:spacing w:line="560" w:lineRule="exact"/>
        <w:ind w:firstLine="627" w:firstLineChars="196"/>
        <w:jc w:val="left"/>
        <w:rPr>
          <w:rFonts w:ascii="方正仿宋_GBK" w:hAnsi="宋体" w:cs="宋体"/>
          <w:kern w:val="0"/>
          <w:szCs w:val="32"/>
        </w:rPr>
      </w:pPr>
      <w:r>
        <w:rPr>
          <w:rFonts w:hint="eastAsia" w:ascii="方正仿宋_GBK" w:hAnsi="宋体" w:cs="宋体"/>
          <w:bCs/>
          <w:kern w:val="0"/>
        </w:rPr>
        <w:t>本单位2022年度无国有资本经营预算财政拨款支出。</w:t>
      </w:r>
    </w:p>
    <w:p>
      <w:pPr>
        <w:widowControl/>
        <w:spacing w:line="560" w:lineRule="exact"/>
        <w:ind w:firstLine="640" w:firstLineChars="200"/>
        <w:jc w:val="left"/>
        <w:rPr>
          <w:rFonts w:ascii="方正黑体_GBK" w:hAnsi="宋体" w:eastAsia="方正黑体_GBK" w:cs="宋体"/>
          <w:bCs/>
          <w:kern w:val="0"/>
        </w:rPr>
      </w:pPr>
      <w:r>
        <w:rPr>
          <w:rFonts w:hint="eastAsia" w:ascii="方正黑体_GBK" w:hAnsi="宋体" w:eastAsia="方正黑体_GBK" w:cs="宋体"/>
          <w:bCs/>
          <w:kern w:val="0"/>
        </w:rPr>
        <w:t>三、“三公”经费情况说明</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（一）“三公”经费支出总体情况说明</w:t>
      </w:r>
    </w:p>
    <w:p>
      <w:pPr>
        <w:widowControl/>
        <w:spacing w:line="560" w:lineRule="exact"/>
        <w:ind w:firstLine="640" w:firstLineChars="200"/>
        <w:jc w:val="left"/>
        <w:rPr>
          <w:rFonts w:ascii="方正仿宋_GBK" w:hAnsi="宋体" w:cs="宋体"/>
          <w:bCs/>
          <w:kern w:val="0"/>
          <w:szCs w:val="32"/>
        </w:rPr>
      </w:pPr>
      <w:r>
        <w:rPr>
          <w:rFonts w:hint="eastAsia" w:ascii="方正仿宋_GBK" w:hAnsi="宋体" w:cs="宋体"/>
          <w:bCs/>
          <w:kern w:val="0"/>
          <w:szCs w:val="32"/>
        </w:rPr>
        <w:t>2022年度“三公”经费支出共计5.71万元，较年初预算数增加0万元，增长0%，主要原因是</w:t>
      </w:r>
      <w:r>
        <w:rPr>
          <w:rFonts w:hint="eastAsia" w:ascii="方正仿宋_GBK" w:hAnsi="宋体" w:cs="宋体"/>
          <w:kern w:val="0"/>
          <w:szCs w:val="32"/>
        </w:rPr>
        <w:t>严格控制公务用车数量和公务用车支出</w:t>
      </w:r>
      <w:r>
        <w:rPr>
          <w:rFonts w:hint="eastAsia" w:ascii="方正仿宋_GBK" w:hAnsi="宋体" w:cs="宋体"/>
          <w:bCs/>
          <w:kern w:val="0"/>
          <w:szCs w:val="32"/>
        </w:rPr>
        <w:t>。较上年支出数增加5.71万元，增长100%，主要原因是二级单位分离，独立核算。</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（二）“三公”经费分项支出情况</w:t>
      </w:r>
    </w:p>
    <w:p>
      <w:pPr>
        <w:spacing w:line="560" w:lineRule="exact"/>
        <w:ind w:firstLine="640" w:firstLineChars="200"/>
        <w:rPr>
          <w:szCs w:val="32"/>
        </w:rPr>
      </w:pPr>
      <w:r>
        <w:rPr>
          <w:rFonts w:hint="eastAsia"/>
          <w:szCs w:val="32"/>
        </w:rPr>
        <w:t>本单位2022年度未发生因公出国（境）费用支出。</w:t>
      </w:r>
    </w:p>
    <w:p>
      <w:pPr>
        <w:spacing w:line="560" w:lineRule="exact"/>
        <w:ind w:firstLine="640" w:firstLineChars="200"/>
        <w:rPr>
          <w:szCs w:val="32"/>
        </w:rPr>
      </w:pPr>
      <w:r>
        <w:rPr>
          <w:rFonts w:hint="eastAsia"/>
          <w:szCs w:val="32"/>
        </w:rPr>
        <w:t>本单位2022年度未发生公务车购置费支出。</w:t>
      </w:r>
    </w:p>
    <w:p>
      <w:pPr>
        <w:spacing w:line="560" w:lineRule="exact"/>
        <w:ind w:firstLine="640" w:firstLineChars="200"/>
        <w:rPr>
          <w:szCs w:val="32"/>
        </w:rPr>
      </w:pPr>
      <w:r>
        <w:rPr>
          <w:rFonts w:hint="eastAsia" w:ascii="方正仿宋_GBK" w:hAnsi="宋体" w:cs="宋体"/>
          <w:kern w:val="0"/>
          <w:szCs w:val="32"/>
        </w:rPr>
        <w:t>公务车运行维护费5.71万元，主要用于机要文件交换、符合公务用车派车规定的市内因公出行、业务检查等工作所需车辆的燃料费、维修费、过桥过路费、保险费等。费用支出</w:t>
      </w:r>
      <w:r>
        <w:rPr>
          <w:rFonts w:hint="eastAsia" w:ascii="方正仿宋_GBK" w:hAnsi="宋体" w:cs="宋体"/>
          <w:bCs/>
          <w:kern w:val="0"/>
          <w:szCs w:val="32"/>
        </w:rPr>
        <w:t>较年初预算数增加0万元，增长0%</w:t>
      </w:r>
      <w:r>
        <w:rPr>
          <w:rFonts w:hint="eastAsia" w:ascii="方正仿宋_GBK" w:hAnsi="宋体" w:cs="宋体"/>
          <w:kern w:val="0"/>
          <w:szCs w:val="32"/>
        </w:rPr>
        <w:t>，主要原因是严格控制公务用车数量和公务用车支出。较上年支出数增加5.71万元，增长100%，主要原因是</w:t>
      </w:r>
      <w:r>
        <w:rPr>
          <w:rFonts w:hint="eastAsia"/>
          <w:szCs w:val="32"/>
        </w:rPr>
        <w:t>二级单位分离，独立核算。</w:t>
      </w:r>
    </w:p>
    <w:p>
      <w:pPr>
        <w:spacing w:line="560" w:lineRule="exact"/>
        <w:ind w:firstLine="640" w:firstLineChars="200"/>
        <w:rPr>
          <w:szCs w:val="32"/>
        </w:rPr>
      </w:pPr>
      <w:r>
        <w:rPr>
          <w:rFonts w:hint="eastAsia" w:ascii="方正仿宋_GBK" w:hAnsi="宋体" w:cs="宋体"/>
          <w:kern w:val="0"/>
          <w:szCs w:val="32"/>
        </w:rPr>
        <w:t>本单位2022年未发生公务接待费。</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（三）“三公”经费实物量情况</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2022年度本部门因公出国（境）共计0个团组，0人；公务用车购置0辆，公务车保有量为1辆；国内公务接待0批次0人，其中：国内外事接待0批次，0人；国（境）外公务接待0批次，0人。2022年本部门车均购置费0万元，车均维护费5.71万元。</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四、其他需要说明的事项</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（一）一般公共预算财政拨款会议费和培训费情况说明</w:t>
      </w:r>
    </w:p>
    <w:p>
      <w:pPr>
        <w:widowControl/>
        <w:spacing w:line="560" w:lineRule="exact"/>
        <w:ind w:firstLine="640" w:firstLineChars="200"/>
        <w:jc w:val="left"/>
      </w:pPr>
      <w:r>
        <w:t>本年度培训费支出0.46万元，较上年决算数增加0.46万元，增长</w:t>
      </w:r>
      <w:r>
        <w:rPr>
          <w:rFonts w:hint="eastAsia"/>
        </w:rPr>
        <w:t>100</w:t>
      </w:r>
      <w:r>
        <w:t>%，主要原因是</w:t>
      </w:r>
      <w:r>
        <w:rPr>
          <w:rFonts w:hint="eastAsia"/>
        </w:rPr>
        <w:t>下级单位分离，独立核算。</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（二）机关运行经费情况说明</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按照部门决算列报口径，我单位不在机关运行经费统计范围之内。</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（三）国有资产占用情况说明</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截至2022年12月31日，本部门共有车辆1辆，其中，副部（省）级及以上领导用车0辆、主要领导干部用车0辆、机要通信用车0辆、应急保障用车0辆、执法执勤用车1辆，特种专业技术用车0辆，离退休干部用车0辆，其他用车0辆，单价50万元（含）以上通用设备0台（套），单价100万元（含）以上专用设备0台（套）</w:t>
      </w:r>
    </w:p>
    <w:p>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（四）政府采购支出情况说明</w:t>
      </w:r>
    </w:p>
    <w:p>
      <w:pPr>
        <w:spacing w:line="560" w:lineRule="exact"/>
        <w:ind w:firstLine="640" w:firstLineChars="200"/>
        <w:rPr>
          <w:szCs w:val="32"/>
        </w:rPr>
      </w:pPr>
      <w:r>
        <w:rPr>
          <w:rFonts w:hint="eastAsia"/>
          <w:szCs w:val="32"/>
        </w:rPr>
        <w:t>2022年度我单位未发生政府采购事项，无相关经费支出。</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五、预算绩效管理情况说明</w:t>
      </w:r>
    </w:p>
    <w:p>
      <w:pPr>
        <w:tabs>
          <w:tab w:val="center" w:pos="4153"/>
          <w:tab w:val="left" w:pos="7275"/>
        </w:tabs>
        <w:spacing w:line="560" w:lineRule="exact"/>
        <w:ind w:firstLine="643" w:firstLineChars="200"/>
        <w:rPr>
          <w:rFonts w:ascii="方正仿宋_GBK" w:hAnsi="宋体" w:cs="宋体"/>
          <w:kern w:val="0"/>
          <w:szCs w:val="32"/>
        </w:rPr>
      </w:pPr>
      <w:r>
        <w:rPr>
          <w:rFonts w:hint="eastAsia" w:ascii="方正仿宋_GBK" w:hAnsi="宋体" w:cs="宋体"/>
          <w:b/>
          <w:kern w:val="0"/>
          <w:szCs w:val="32"/>
        </w:rPr>
        <w:t>（一）单位自评情况</w:t>
      </w:r>
    </w:p>
    <w:p>
      <w:pPr>
        <w:spacing w:line="560" w:lineRule="exact"/>
        <w:ind w:firstLine="640" w:firstLineChars="200"/>
        <w:rPr>
          <w:rFonts w:hint="eastAsia"/>
          <w:szCs w:val="32"/>
        </w:rPr>
      </w:pPr>
      <w:r>
        <w:rPr>
          <w:rFonts w:hint="eastAsia"/>
          <w:szCs w:val="32"/>
        </w:rPr>
        <w:t>根据预算绩效管理要求，我单位对1个项目开展了绩效自评，其中，以填报目标自评表形式开展自评1项，涉及资金245.83万元；以委托第三方形式开展绩效自评0项，涉及资金0万元，从评价情况来看，项目完成较好。</w:t>
      </w:r>
    </w:p>
    <w:p>
      <w:pPr>
        <w:spacing w:line="560" w:lineRule="exact"/>
        <w:ind w:firstLine="640" w:firstLineChars="200"/>
        <w:rPr>
          <w:rFonts w:hint="eastAsia"/>
          <w:szCs w:val="32"/>
        </w:rPr>
      </w:pPr>
    </w:p>
    <w:p>
      <w:pPr>
        <w:spacing w:line="560" w:lineRule="exact"/>
        <w:ind w:firstLine="640" w:firstLineChars="200"/>
        <w:rPr>
          <w:rFonts w:hint="eastAsia"/>
          <w:szCs w:val="32"/>
        </w:rPr>
      </w:pPr>
    </w:p>
    <w:tbl>
      <w:tblPr>
        <w:tblStyle w:val="14"/>
        <w:tblW w:w="8355" w:type="dxa"/>
        <w:tblInd w:w="93" w:type="dxa"/>
        <w:tblLayout w:type="fixed"/>
        <w:tblCellMar>
          <w:top w:w="0" w:type="dxa"/>
          <w:left w:w="108" w:type="dxa"/>
          <w:bottom w:w="0" w:type="dxa"/>
          <w:right w:w="108" w:type="dxa"/>
        </w:tblCellMar>
      </w:tblPr>
      <w:tblGrid>
        <w:gridCol w:w="600"/>
        <w:gridCol w:w="750"/>
        <w:gridCol w:w="675"/>
        <w:gridCol w:w="720"/>
        <w:gridCol w:w="915"/>
        <w:gridCol w:w="690"/>
        <w:gridCol w:w="705"/>
        <w:gridCol w:w="945"/>
        <w:gridCol w:w="780"/>
        <w:gridCol w:w="795"/>
        <w:gridCol w:w="780"/>
      </w:tblGrid>
      <w:tr>
        <w:tblPrEx>
          <w:tblCellMar>
            <w:top w:w="0" w:type="dxa"/>
            <w:left w:w="108" w:type="dxa"/>
            <w:bottom w:w="0" w:type="dxa"/>
            <w:right w:w="108" w:type="dxa"/>
          </w:tblCellMar>
        </w:tblPrEx>
        <w:trPr>
          <w:trHeight w:val="780" w:hRule="atLeast"/>
        </w:trPr>
        <w:tc>
          <w:tcPr>
            <w:tcW w:w="8355" w:type="dxa"/>
            <w:gridSpan w:val="11"/>
            <w:tcBorders>
              <w:top w:val="nil"/>
              <w:left w:val="nil"/>
              <w:bottom w:val="single" w:color="000000" w:sz="4" w:space="0"/>
              <w:right w:val="nil"/>
            </w:tcBorders>
            <w:noWrap/>
            <w:vAlign w:val="center"/>
          </w:tcPr>
          <w:p>
            <w:pPr>
              <w:widowControl/>
              <w:jc w:val="center"/>
              <w:textAlignment w:val="center"/>
              <w:rPr>
                <w:rFonts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kern w:val="0"/>
                <w:sz w:val="36"/>
                <w:szCs w:val="36"/>
              </w:rPr>
              <w:t>重庆市九龙坡公证处2022年度项目支出绩效自评表</w:t>
            </w:r>
          </w:p>
        </w:tc>
      </w:tr>
      <w:tr>
        <w:tblPrEx>
          <w:tblCellMar>
            <w:top w:w="0" w:type="dxa"/>
            <w:left w:w="108" w:type="dxa"/>
            <w:bottom w:w="0" w:type="dxa"/>
            <w:right w:w="108" w:type="dxa"/>
          </w:tblCellMar>
        </w:tblPrEx>
        <w:trPr>
          <w:trHeight w:val="600" w:hRule="atLeast"/>
        </w:trPr>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序号</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项目名称</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指标名称</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指标性质</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指标值</w:t>
            </w:r>
          </w:p>
        </w:tc>
        <w:tc>
          <w:tcPr>
            <w:tcW w:w="6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计量单位</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指标权重</w:t>
            </w: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全年完成值</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指标得分</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说明</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自评得分</w:t>
            </w:r>
          </w:p>
        </w:tc>
      </w:tr>
      <w:tr>
        <w:tblPrEx>
          <w:tblCellMar>
            <w:top w:w="0" w:type="dxa"/>
            <w:left w:w="108" w:type="dxa"/>
            <w:bottom w:w="0" w:type="dxa"/>
            <w:right w:w="108" w:type="dxa"/>
          </w:tblCellMar>
        </w:tblPrEx>
        <w:trPr>
          <w:trHeight w:val="432" w:hRule="atLeast"/>
        </w:trPr>
        <w:tc>
          <w:tcPr>
            <w:tcW w:w="600" w:type="dxa"/>
            <w:vMerge w:val="restart"/>
            <w:tcBorders>
              <w:top w:val="single" w:color="000000" w:sz="4" w:space="0"/>
              <w:left w:val="single" w:color="000000" w:sz="4" w:space="0"/>
              <w:right w:val="single" w:color="000000" w:sz="4" w:space="0"/>
            </w:tcBorders>
            <w:noWrap/>
            <w:vAlign w:val="center"/>
          </w:tcPr>
          <w:p>
            <w:pPr>
              <w:jc w:val="center"/>
              <w:textAlignment w:val="center"/>
              <w:rPr>
                <w:rFonts w:ascii="黑体" w:hAnsi="黑体" w:eastAsia="黑体"/>
                <w:color w:val="000000"/>
                <w:sz w:val="20"/>
              </w:rPr>
            </w:pPr>
            <w:r>
              <w:rPr>
                <w:rFonts w:ascii="黑体" w:hAnsi="黑体" w:eastAsia="黑体"/>
                <w:color w:val="000000"/>
                <w:kern w:val="0"/>
                <w:sz w:val="20"/>
              </w:rPr>
              <w:t>1</w:t>
            </w:r>
          </w:p>
        </w:tc>
        <w:tc>
          <w:tcPr>
            <w:tcW w:w="750"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律师公证管理</w:t>
            </w:r>
          </w:p>
        </w:tc>
        <w:tc>
          <w:tcPr>
            <w:tcW w:w="675" w:type="dxa"/>
            <w:tcBorders>
              <w:top w:val="single" w:color="000000" w:sz="4" w:space="0"/>
              <w:left w:val="single" w:color="000000" w:sz="4" w:space="0"/>
              <w:bottom w:val="single" w:color="000000" w:sz="4" w:space="0"/>
              <w:right w:val="single" w:color="000000" w:sz="4" w:space="0"/>
            </w:tcBorders>
            <w:noWrap/>
          </w:tcPr>
          <w:p>
            <w:pPr>
              <w:rPr>
                <w:rFonts w:ascii="黑体" w:hAnsi="黑体" w:eastAsia="黑体" w:cs="宋体"/>
                <w:color w:val="000000"/>
                <w:sz w:val="20"/>
              </w:rPr>
            </w:pPr>
            <w:r>
              <w:rPr>
                <w:rFonts w:hint="eastAsia" w:ascii="黑体" w:hAnsi="黑体" w:eastAsia="黑体" w:cs="宋体"/>
                <w:color w:val="000000"/>
                <w:sz w:val="20"/>
              </w:rPr>
              <w:t>公证案件数量</w:t>
            </w:r>
          </w:p>
        </w:tc>
        <w:tc>
          <w:tcPr>
            <w:tcW w:w="72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5000</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件</w:t>
            </w:r>
          </w:p>
        </w:tc>
        <w:tc>
          <w:tcPr>
            <w:tcW w:w="70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30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ascii="黑体" w:hAnsi="黑体" w:eastAsia="黑体" w:cs="宋体"/>
                <w:color w:val="000000"/>
                <w:sz w:val="20"/>
              </w:rPr>
              <w:t>5210</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30</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办理公证案件数量</w:t>
            </w:r>
          </w:p>
        </w:tc>
        <w:tc>
          <w:tcPr>
            <w:tcW w:w="780"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r>
              <w:rPr>
                <w:rFonts w:hint="eastAsia" w:ascii="宋体" w:hAnsi="宋体" w:cs="宋体"/>
                <w:color w:val="000000"/>
                <w:sz w:val="22"/>
              </w:rPr>
              <w:t>100</w:t>
            </w:r>
          </w:p>
        </w:tc>
      </w:tr>
      <w:tr>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pPr>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错证率</w:t>
            </w:r>
          </w:p>
        </w:tc>
        <w:tc>
          <w:tcPr>
            <w:tcW w:w="72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3</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w:t>
            </w:r>
          </w:p>
        </w:tc>
        <w:tc>
          <w:tcPr>
            <w:tcW w:w="70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0</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10</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出现错证假证比例</w:t>
            </w:r>
          </w:p>
        </w:tc>
        <w:tc>
          <w:tcPr>
            <w:tcW w:w="78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pPr>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案件办理时限</w:t>
            </w:r>
          </w:p>
        </w:tc>
        <w:tc>
          <w:tcPr>
            <w:tcW w:w="72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15</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工作日</w:t>
            </w:r>
          </w:p>
        </w:tc>
        <w:tc>
          <w:tcPr>
            <w:tcW w:w="70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15</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10</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相关文件确定的案件办理时间上限</w:t>
            </w:r>
          </w:p>
        </w:tc>
        <w:tc>
          <w:tcPr>
            <w:tcW w:w="78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pPr>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公证费收入</w:t>
            </w:r>
          </w:p>
        </w:tc>
        <w:tc>
          <w:tcPr>
            <w:tcW w:w="72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453</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万元/年</w:t>
            </w:r>
          </w:p>
        </w:tc>
        <w:tc>
          <w:tcPr>
            <w:tcW w:w="70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568</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15</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合理收取公证费用，服务全区社会经济</w:t>
            </w:r>
          </w:p>
        </w:tc>
        <w:tc>
          <w:tcPr>
            <w:tcW w:w="78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pPr>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预防纠纷率</w:t>
            </w:r>
          </w:p>
        </w:tc>
        <w:tc>
          <w:tcPr>
            <w:tcW w:w="72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97</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w:t>
            </w:r>
          </w:p>
        </w:tc>
        <w:tc>
          <w:tcPr>
            <w:tcW w:w="70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15</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99</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15</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用事前公证的方式预防矛盾纠纷</w:t>
            </w:r>
          </w:p>
        </w:tc>
        <w:tc>
          <w:tcPr>
            <w:tcW w:w="78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pPr>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服务对象满意度</w:t>
            </w:r>
          </w:p>
        </w:tc>
        <w:tc>
          <w:tcPr>
            <w:tcW w:w="72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95</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w:t>
            </w:r>
          </w:p>
        </w:tc>
        <w:tc>
          <w:tcPr>
            <w:tcW w:w="70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100</w:t>
            </w:r>
          </w:p>
        </w:tc>
        <w:tc>
          <w:tcPr>
            <w:tcW w:w="78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黑体" w:hAnsi="黑体" w:eastAsia="黑体" w:cs="宋体"/>
                <w:color w:val="000000"/>
                <w:sz w:val="20"/>
              </w:rPr>
            </w:pPr>
            <w:r>
              <w:rPr>
                <w:rFonts w:hint="eastAsia" w:ascii="黑体" w:hAnsi="黑体" w:eastAsia="黑体" w:cs="宋体"/>
                <w:color w:val="000000"/>
                <w:sz w:val="20"/>
              </w:rPr>
              <w:t>10</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rPr>
                <w:rFonts w:ascii="黑体" w:hAnsi="黑体" w:eastAsia="黑体" w:cs="宋体"/>
                <w:color w:val="000000"/>
                <w:sz w:val="20"/>
              </w:rPr>
            </w:pPr>
            <w:r>
              <w:rPr>
                <w:rFonts w:hint="eastAsia" w:ascii="黑体" w:hAnsi="黑体" w:eastAsia="黑体" w:cs="宋体"/>
                <w:color w:val="000000"/>
                <w:sz w:val="20"/>
              </w:rPr>
              <w:t>开展窗口优质服务，提升满意度</w:t>
            </w:r>
          </w:p>
        </w:tc>
        <w:tc>
          <w:tcPr>
            <w:tcW w:w="78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r>
    </w:tbl>
    <w:p>
      <w:pPr>
        <w:tabs>
          <w:tab w:val="center" w:pos="4153"/>
          <w:tab w:val="left" w:pos="7275"/>
        </w:tabs>
        <w:spacing w:line="596" w:lineRule="exact"/>
        <w:ind w:firstLine="643" w:firstLineChars="200"/>
        <w:rPr>
          <w:rFonts w:ascii="方正仿宋_GBK" w:hAnsi="宋体" w:cs="宋体"/>
          <w:b/>
          <w:kern w:val="0"/>
          <w:szCs w:val="32"/>
        </w:rPr>
      </w:pPr>
      <w:r>
        <w:rPr>
          <w:rFonts w:hint="eastAsia" w:ascii="方正仿宋_GBK" w:hAnsi="宋体" w:cs="宋体"/>
          <w:b/>
          <w:kern w:val="0"/>
          <w:szCs w:val="32"/>
        </w:rPr>
        <w:t>（二）部门重点绩效评价情况</w:t>
      </w:r>
    </w:p>
    <w:p>
      <w:pPr>
        <w:tabs>
          <w:tab w:val="center" w:pos="4153"/>
          <w:tab w:val="left" w:pos="7275"/>
        </w:tabs>
        <w:spacing w:line="600" w:lineRule="exact"/>
        <w:ind w:firstLine="640" w:firstLineChars="200"/>
        <w:rPr>
          <w:rFonts w:hint="default" w:ascii="方正仿宋_GBK" w:hAnsi="宋体" w:cs="宋体"/>
          <w:kern w:val="0"/>
          <w:szCs w:val="32"/>
          <w:lang w:val="en-US"/>
        </w:rPr>
      </w:pPr>
      <w:r>
        <w:rPr>
          <w:rFonts w:hint="eastAsia" w:ascii="方正仿宋_GBK" w:hAnsi="宋体" w:cs="宋体"/>
          <w:kern w:val="0"/>
          <w:szCs w:val="32"/>
        </w:rPr>
        <w:t>我</w:t>
      </w:r>
      <w:r>
        <w:rPr>
          <w:rFonts w:hint="eastAsia" w:ascii="方正仿宋_GBK" w:hAnsi="宋体" w:cs="宋体"/>
          <w:kern w:val="0"/>
          <w:szCs w:val="32"/>
          <w:lang w:eastAsia="zh-CN"/>
        </w:rPr>
        <w:t>单位</w:t>
      </w:r>
      <w:r>
        <w:rPr>
          <w:rFonts w:hint="eastAsia" w:ascii="方正仿宋_GBK" w:hAnsi="宋体" w:cs="宋体"/>
          <w:kern w:val="0"/>
          <w:szCs w:val="32"/>
          <w:lang w:val="en-US" w:eastAsia="zh-CN"/>
        </w:rPr>
        <w:t>2022年无重点项目，故无重点项目绩效评价。</w:t>
      </w:r>
    </w:p>
    <w:p>
      <w:pPr>
        <w:numPr>
          <w:ilvl w:val="0"/>
          <w:numId w:val="1"/>
        </w:numPr>
        <w:tabs>
          <w:tab w:val="center" w:pos="4153"/>
          <w:tab w:val="left" w:pos="7275"/>
        </w:tabs>
        <w:spacing w:line="600" w:lineRule="exact"/>
        <w:ind w:firstLine="643" w:firstLineChars="200"/>
        <w:rPr>
          <w:rFonts w:hint="eastAsia" w:ascii="方正仿宋_GBK" w:hAnsi="宋体" w:cs="宋体"/>
          <w:b/>
          <w:kern w:val="0"/>
          <w:szCs w:val="32"/>
        </w:rPr>
      </w:pPr>
      <w:r>
        <w:rPr>
          <w:rFonts w:hint="eastAsia" w:ascii="方正仿宋_GBK" w:hAnsi="宋体" w:cs="宋体"/>
          <w:b/>
          <w:kern w:val="0"/>
          <w:szCs w:val="32"/>
        </w:rPr>
        <w:t>财政绩效评价情况</w:t>
      </w:r>
    </w:p>
    <w:p>
      <w:pPr>
        <w:tabs>
          <w:tab w:val="center" w:pos="4153"/>
          <w:tab w:val="left" w:pos="7275"/>
        </w:tabs>
        <w:spacing w:line="600" w:lineRule="exact"/>
        <w:ind w:firstLine="640" w:firstLineChars="200"/>
        <w:rPr>
          <w:rFonts w:hint="default" w:ascii="方正仿宋_GBK" w:hAnsi="宋体" w:eastAsia="方正仿宋_GBK" w:cs="宋体"/>
          <w:b/>
          <w:kern w:val="0"/>
          <w:szCs w:val="32"/>
          <w:lang w:val="en-US" w:eastAsia="zh-CN"/>
        </w:rPr>
      </w:pPr>
      <w:r>
        <w:rPr>
          <w:rFonts w:hint="eastAsia" w:ascii="方正仿宋_GBK" w:hAnsi="宋体" w:cs="宋体"/>
          <w:kern w:val="0"/>
          <w:szCs w:val="32"/>
        </w:rPr>
        <w:t>我</w:t>
      </w:r>
      <w:r>
        <w:rPr>
          <w:rFonts w:hint="eastAsia" w:ascii="方正仿宋_GBK" w:hAnsi="宋体" w:cs="宋体"/>
          <w:kern w:val="0"/>
          <w:szCs w:val="32"/>
          <w:lang w:eastAsia="zh-CN"/>
        </w:rPr>
        <w:t>单位</w:t>
      </w:r>
      <w:r>
        <w:rPr>
          <w:rFonts w:hint="eastAsia" w:ascii="方正仿宋_GBK" w:hAnsi="宋体" w:cs="宋体"/>
          <w:kern w:val="0"/>
          <w:szCs w:val="32"/>
          <w:lang w:val="en-US" w:eastAsia="zh-CN"/>
        </w:rPr>
        <w:t>2022年无重点项目，故无重点项目绩效评价。</w:t>
      </w:r>
    </w:p>
    <w:p>
      <w:pPr>
        <w:widowControl/>
        <w:spacing w:line="560" w:lineRule="exact"/>
        <w:ind w:firstLine="630"/>
        <w:jc w:val="left"/>
        <w:rPr>
          <w:rFonts w:ascii="方正黑体_GBK" w:hAnsi="宋体" w:eastAsia="方正黑体_GBK" w:cs="宋体"/>
          <w:b/>
          <w:kern w:val="0"/>
          <w:szCs w:val="32"/>
        </w:rPr>
      </w:pPr>
      <w:r>
        <w:rPr>
          <w:rFonts w:hint="eastAsia" w:ascii="方正黑体_GBK" w:hAnsi="宋体" w:eastAsia="方正黑体_GBK" w:cs="宋体"/>
          <w:bCs/>
          <w:kern w:val="0"/>
        </w:rPr>
        <w:t>六、专业名词解释</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（一）财政拨款收入</w:t>
      </w:r>
      <w:r>
        <w:rPr>
          <w:rFonts w:hint="eastAsia" w:ascii="方正仿宋_GBK" w:hAnsi="宋体" w:cs="宋体"/>
          <w:kern w:val="0"/>
          <w:szCs w:val="32"/>
        </w:rPr>
        <w:t>：指本年度从本级财政部门取得的财政拨款，包括一般公共预算财政拨款和政府性基金预算财政拨款。</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（二）事业收入</w:t>
      </w:r>
      <w:r>
        <w:rPr>
          <w:rFonts w:hint="eastAsia" w:ascii="方正仿宋_GBK" w:hAnsi="宋体" w:cs="宋体"/>
          <w:kern w:val="0"/>
          <w:szCs w:val="32"/>
        </w:rPr>
        <w:t>：指事业单位开展专业业务活动及其辅助活动取得的现金流入；事业单位收到的财政专户实际核拨的教育收费等资金在此反映。</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（三）经营收入</w:t>
      </w:r>
      <w:r>
        <w:rPr>
          <w:rFonts w:hint="eastAsia" w:ascii="方正仿宋_GBK" w:hAnsi="宋体" w:cs="宋体"/>
          <w:kern w:val="0"/>
          <w:szCs w:val="32"/>
        </w:rPr>
        <w:t>：指事业单位在专业业务活动及其辅助活动之外开展非独立核算经营活动取得的现金流入。</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（四）其他收入</w:t>
      </w:r>
      <w:r>
        <w:rPr>
          <w:rFonts w:hint="eastAsia" w:ascii="方正仿宋_GBK" w:hAnsi="宋体" w:cs="宋体"/>
          <w:kern w:val="0"/>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（五）使用非财政拨款结余</w:t>
      </w:r>
      <w:r>
        <w:rPr>
          <w:rFonts w:hint="eastAsia" w:ascii="方正仿宋_GBK" w:hAnsi="宋体" w:cs="宋体"/>
          <w:kern w:val="0"/>
          <w:szCs w:val="32"/>
        </w:rPr>
        <w:t>：指单位在当年的“财政拨款收入”、“事业收入”、“经营收入”、“其他收入”等不足以安排当年支出的情况下，使用以前年度积累的非财政拨款结余弥补本年度收支缺口的资金。</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（六）年初结转和结余</w:t>
      </w:r>
      <w:r>
        <w:rPr>
          <w:rFonts w:hint="eastAsia" w:ascii="方正仿宋_GBK" w:hAnsi="宋体" w:cs="宋体"/>
          <w:kern w:val="0"/>
          <w:szCs w:val="32"/>
        </w:rPr>
        <w:t>：指单位上年结转本年使用的基本支出结转、项目支出结转和结余、经营结余。</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（七）结余分配</w:t>
      </w:r>
      <w:r>
        <w:rPr>
          <w:rFonts w:hint="eastAsia" w:ascii="方正仿宋_GBK" w:hAnsi="宋体" w:cs="宋体"/>
          <w:kern w:val="0"/>
          <w:szCs w:val="32"/>
        </w:rPr>
        <w:t>：指单位按照国家有关规定，缴纳所得税、提取专用基金、转入非财政拨款结余等当年结余的分配情况。</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（八）年末结转和结余</w:t>
      </w:r>
      <w:r>
        <w:rPr>
          <w:rFonts w:hint="eastAsia" w:ascii="方正仿宋_GBK" w:hAnsi="宋体" w:cs="宋体"/>
          <w:kern w:val="0"/>
          <w:szCs w:val="32"/>
        </w:rPr>
        <w:t>：指单位结转下年的基本支出结转、项目支出结转和结余、经营结余。</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（九）基本支出</w:t>
      </w:r>
      <w:r>
        <w:rPr>
          <w:rFonts w:hint="eastAsia" w:ascii="方正仿宋_GBK" w:hAnsi="宋体" w:cs="宋体"/>
          <w:kern w:val="0"/>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（十）项目支出</w:t>
      </w:r>
      <w:r>
        <w:rPr>
          <w:rFonts w:hint="eastAsia" w:ascii="方正仿宋_GBK" w:hAnsi="宋体" w:cs="宋体"/>
          <w:kern w:val="0"/>
          <w:szCs w:val="32"/>
        </w:rPr>
        <w:t>：指在基本支出之外为完成特定行政任务和事业发展目标所发生的支出。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（十一）经营支出</w:t>
      </w:r>
      <w:r>
        <w:rPr>
          <w:rFonts w:hint="eastAsia" w:ascii="方正仿宋_GBK" w:hAnsi="宋体" w:cs="宋体"/>
          <w:kern w:val="0"/>
          <w:szCs w:val="32"/>
        </w:rPr>
        <w:t>：指事业单位在专业业务活动及其辅助活动之外开展非独立核算经营活动发生的支出。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（十二）“三公”经费</w:t>
      </w:r>
      <w:r>
        <w:rPr>
          <w:rFonts w:hint="eastAsia" w:ascii="方正仿宋_GBK" w:hAnsi="宋体" w:cs="宋体"/>
          <w:kern w:val="0"/>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（十三）机关运行经费</w:t>
      </w:r>
      <w:r>
        <w:rPr>
          <w:rFonts w:hint="eastAsia" w:ascii="方正仿宋_GBK" w:hAnsi="宋体" w:cs="宋体"/>
          <w:kern w:val="0"/>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（十四）工资福利支出（支出经济分类科目类级）</w:t>
      </w:r>
      <w:r>
        <w:rPr>
          <w:rFonts w:hint="eastAsia" w:ascii="方正仿宋_GBK" w:hAnsi="宋体" w:cs="宋体"/>
          <w:kern w:val="0"/>
          <w:szCs w:val="32"/>
        </w:rPr>
        <w:t>：反映单位开支的在职职工和编制外长期聘用人员的各类劳动报酬，以及为上述人员缴纳的各项社会保险费等。</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（十五）商品和服务支出（支出经济分类科目类级）</w:t>
      </w:r>
      <w:r>
        <w:rPr>
          <w:rFonts w:hint="eastAsia" w:ascii="方正仿宋_GBK" w:hAnsi="宋体" w:cs="宋体"/>
          <w:kern w:val="0"/>
          <w:szCs w:val="32"/>
        </w:rPr>
        <w:t>：反映单位购买商品和服务的支出（不包括用于购置固定资产的支出、战略性和应急储备支出）。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（十六）对个人和家庭的补助（支出经济分类科目类级）</w:t>
      </w:r>
      <w:r>
        <w:rPr>
          <w:rFonts w:hint="eastAsia" w:ascii="方正仿宋_GBK" w:hAnsi="宋体" w:cs="宋体"/>
          <w:kern w:val="0"/>
          <w:szCs w:val="32"/>
        </w:rPr>
        <w:t>：反映用于对个人和家庭的补助支出。</w:t>
      </w:r>
    </w:p>
    <w:p>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（十七）其他资本性支出（支出经济分类科目类级）</w:t>
      </w:r>
      <w:r>
        <w:rPr>
          <w:rFonts w:hint="eastAsia" w:ascii="方正仿宋_GBK" w:hAnsi="宋体" w:cs="宋体"/>
          <w:kern w:val="0"/>
          <w:szCs w:val="32"/>
        </w:rPr>
        <w:t>：反映非各级发展与改革部门集中安排的用于购置固定资产、战略性和应急性储备、土地和无形资产，以及构建基础设施、大型修缮和财政支持企业更新改造所发生的支出。</w:t>
      </w:r>
    </w:p>
    <w:p>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七、决算公开联系方式及信息反馈渠道</w:t>
      </w:r>
    </w:p>
    <w:p>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本单位决算公开信息反馈和联系方式：023-68176327</w:t>
      </w:r>
    </w:p>
    <w:p>
      <w:pPr>
        <w:widowControl/>
        <w:spacing w:line="560" w:lineRule="exact"/>
        <w:ind w:firstLine="640" w:firstLineChars="200"/>
        <w:jc w:val="left"/>
        <w:rPr>
          <w:rFonts w:ascii="方正仿宋_GBK"/>
          <w:szCs w:val="32"/>
        </w:rPr>
      </w:pPr>
      <w:r>
        <w:rPr>
          <w:rFonts w:hint="eastAsia" w:ascii="方正仿宋_GBK"/>
          <w:szCs w:val="32"/>
        </w:rPr>
        <w:t>附件：1.收入支出决算总表</w:t>
      </w:r>
    </w:p>
    <w:p>
      <w:pPr>
        <w:widowControl/>
        <w:spacing w:line="560" w:lineRule="exact"/>
        <w:ind w:firstLine="1600" w:firstLineChars="500"/>
        <w:jc w:val="left"/>
        <w:rPr>
          <w:rFonts w:ascii="方正仿宋_GBK"/>
          <w:szCs w:val="32"/>
        </w:rPr>
      </w:pPr>
      <w:r>
        <w:rPr>
          <w:rFonts w:hint="eastAsia" w:ascii="方正仿宋_GBK"/>
          <w:szCs w:val="32"/>
        </w:rPr>
        <w:t>2.收入决算表</w:t>
      </w:r>
    </w:p>
    <w:p>
      <w:pPr>
        <w:widowControl/>
        <w:spacing w:line="560" w:lineRule="exact"/>
        <w:ind w:firstLine="1600" w:firstLineChars="500"/>
        <w:jc w:val="left"/>
        <w:rPr>
          <w:rFonts w:ascii="方正仿宋_GBK"/>
          <w:szCs w:val="32"/>
        </w:rPr>
      </w:pPr>
      <w:r>
        <w:rPr>
          <w:rFonts w:hint="eastAsia" w:ascii="方正仿宋_GBK"/>
          <w:szCs w:val="32"/>
        </w:rPr>
        <w:t>3.支出决算表</w:t>
      </w:r>
    </w:p>
    <w:p>
      <w:pPr>
        <w:widowControl/>
        <w:spacing w:line="560" w:lineRule="exact"/>
        <w:ind w:firstLine="1600" w:firstLineChars="500"/>
        <w:jc w:val="left"/>
        <w:rPr>
          <w:rFonts w:ascii="方正仿宋_GBK"/>
          <w:szCs w:val="32"/>
        </w:rPr>
      </w:pPr>
      <w:r>
        <w:rPr>
          <w:rFonts w:hint="eastAsia" w:ascii="方正仿宋_GBK"/>
          <w:szCs w:val="32"/>
        </w:rPr>
        <w:t>4.财政拨款收入支出决算总表</w:t>
      </w:r>
    </w:p>
    <w:p>
      <w:pPr>
        <w:widowControl/>
        <w:spacing w:line="560" w:lineRule="exact"/>
        <w:ind w:firstLine="1600" w:firstLineChars="500"/>
        <w:jc w:val="left"/>
        <w:rPr>
          <w:rFonts w:ascii="方正仿宋_GBK"/>
          <w:szCs w:val="32"/>
        </w:rPr>
      </w:pPr>
      <w:r>
        <w:rPr>
          <w:rFonts w:hint="eastAsia" w:ascii="方正仿宋_GBK"/>
          <w:szCs w:val="32"/>
        </w:rPr>
        <w:t>5.一般公共预算财政拨款收入支出决算表</w:t>
      </w:r>
    </w:p>
    <w:p>
      <w:pPr>
        <w:widowControl/>
        <w:spacing w:line="560" w:lineRule="exact"/>
        <w:ind w:firstLine="1600" w:firstLineChars="500"/>
        <w:jc w:val="left"/>
        <w:rPr>
          <w:rFonts w:ascii="方正仿宋_GBK"/>
          <w:szCs w:val="32"/>
        </w:rPr>
      </w:pPr>
      <w:r>
        <w:rPr>
          <w:rFonts w:hint="eastAsia" w:ascii="方正仿宋_GBK"/>
          <w:szCs w:val="32"/>
        </w:rPr>
        <w:t>6.一般公共预算财政拨款基本支出决算表</w:t>
      </w:r>
    </w:p>
    <w:p>
      <w:pPr>
        <w:widowControl/>
        <w:spacing w:line="560" w:lineRule="exact"/>
        <w:jc w:val="left"/>
        <w:rPr>
          <w:rFonts w:ascii="方正仿宋_GBK"/>
          <w:szCs w:val="32"/>
        </w:rPr>
      </w:pPr>
      <w:r>
        <w:rPr>
          <w:rFonts w:hint="eastAsia" w:ascii="方正仿宋_GBK"/>
          <w:szCs w:val="32"/>
        </w:rPr>
        <w:t xml:space="preserve">          7.政府性基金预算财政拨款收入支出决算表</w:t>
      </w:r>
    </w:p>
    <w:p>
      <w:pPr>
        <w:widowControl/>
        <w:spacing w:line="560" w:lineRule="exact"/>
        <w:ind w:firstLine="1600" w:firstLineChars="500"/>
        <w:jc w:val="left"/>
        <w:rPr>
          <w:rFonts w:ascii="方正仿宋_GBK"/>
          <w:szCs w:val="32"/>
        </w:rPr>
      </w:pPr>
      <w:r>
        <w:rPr>
          <w:rFonts w:hint="eastAsia" w:ascii="方正仿宋_GBK"/>
          <w:szCs w:val="32"/>
        </w:rPr>
        <w:t>8.国有资本经营预算财政拨款支出决算表</w:t>
      </w:r>
    </w:p>
    <w:p>
      <w:pPr>
        <w:spacing w:line="560" w:lineRule="exact"/>
        <w:ind w:firstLine="1600" w:firstLineChars="500"/>
      </w:pPr>
      <w:r>
        <w:rPr>
          <w:rFonts w:hint="eastAsia" w:ascii="方正仿宋_GBK"/>
          <w:szCs w:val="32"/>
        </w:rPr>
        <w:t>9.机构运行信息表</w:t>
      </w:r>
      <w:r>
        <w:rPr>
          <w:rFonts w:eastAsia="方正黑体_GBK"/>
          <w:szCs w:val="32"/>
        </w:rPr>
        <w:br w:type="page"/>
      </w:r>
    </w:p>
    <w:p>
      <w:pPr>
        <w:adjustRightInd w:val="0"/>
        <w:snapToGrid w:val="0"/>
        <w:spacing w:line="600" w:lineRule="exact"/>
        <w:ind w:right="54" w:rightChars="17"/>
        <w:rPr>
          <w:rFonts w:ascii="方正黑体_GBK" w:eastAsia="方正黑体_GBK"/>
          <w:szCs w:val="32"/>
        </w:rPr>
      </w:pPr>
      <w:r>
        <w:rPr>
          <w:rFonts w:hint="eastAsia" w:ascii="方正黑体_GBK" w:eastAsia="方正黑体_GBK"/>
          <w:szCs w:val="32"/>
        </w:rPr>
        <w:t>附件1</w:t>
      </w:r>
    </w:p>
    <w:tbl>
      <w:tblPr>
        <w:tblStyle w:val="14"/>
        <w:tblW w:w="9087" w:type="dxa"/>
        <w:tblInd w:w="93" w:type="dxa"/>
        <w:tblLayout w:type="autofit"/>
        <w:tblCellMar>
          <w:top w:w="0" w:type="dxa"/>
          <w:left w:w="108" w:type="dxa"/>
          <w:bottom w:w="0" w:type="dxa"/>
          <w:right w:w="108" w:type="dxa"/>
        </w:tblCellMar>
      </w:tblPr>
      <w:tblGrid>
        <w:gridCol w:w="3550"/>
        <w:gridCol w:w="1143"/>
        <w:gridCol w:w="3063"/>
        <w:gridCol w:w="1331"/>
      </w:tblGrid>
      <w:tr>
        <w:tblPrEx>
          <w:tblCellMar>
            <w:top w:w="0" w:type="dxa"/>
            <w:left w:w="108" w:type="dxa"/>
            <w:bottom w:w="0" w:type="dxa"/>
            <w:right w:w="108" w:type="dxa"/>
          </w:tblCellMar>
        </w:tblPrEx>
        <w:trPr>
          <w:trHeight w:val="1311" w:hRule="atLeast"/>
        </w:trPr>
        <w:tc>
          <w:tcPr>
            <w:tcW w:w="9087" w:type="dxa"/>
            <w:gridSpan w:val="4"/>
            <w:tcBorders>
              <w:top w:val="nil"/>
              <w:left w:val="nil"/>
              <w:bottom w:val="nil"/>
              <w:right w:val="nil"/>
            </w:tcBorders>
            <w:shd w:val="clear" w:color="000000" w:fill="FFFFFF"/>
            <w:noWrap/>
            <w:vAlign w:val="center"/>
          </w:tcPr>
          <w:p>
            <w:pPr>
              <w:widowControl/>
              <w:spacing w:line="400" w:lineRule="exact"/>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收入支</w:t>
            </w:r>
            <w:bookmarkStart w:id="0" w:name="_GoBack"/>
            <w:bookmarkEnd w:id="0"/>
            <w:r>
              <w:rPr>
                <w:rFonts w:hint="eastAsia" w:ascii="黑体" w:hAnsi="黑体" w:eastAsia="黑体" w:cs="Arial"/>
                <w:color w:val="000000"/>
                <w:kern w:val="0"/>
                <w:sz w:val="44"/>
                <w:szCs w:val="44"/>
              </w:rPr>
              <w:t>出决算总表</w:t>
            </w:r>
          </w:p>
        </w:tc>
      </w:tr>
      <w:tr>
        <w:tblPrEx>
          <w:tblCellMar>
            <w:top w:w="0" w:type="dxa"/>
            <w:left w:w="108" w:type="dxa"/>
            <w:bottom w:w="0" w:type="dxa"/>
            <w:right w:w="108" w:type="dxa"/>
          </w:tblCellMar>
        </w:tblPrEx>
        <w:trPr>
          <w:trHeight w:val="216" w:hRule="atLeast"/>
        </w:trPr>
        <w:tc>
          <w:tcPr>
            <w:tcW w:w="3550" w:type="dxa"/>
            <w:tcBorders>
              <w:top w:val="nil"/>
              <w:left w:val="nil"/>
              <w:bottom w:val="nil"/>
              <w:right w:val="nil"/>
            </w:tcBorders>
            <w:shd w:val="clear" w:color="000000" w:fill="FFFFFF"/>
            <w:noWrap/>
            <w:vAlign w:val="center"/>
          </w:tcPr>
          <w:p>
            <w:pPr>
              <w:widowControl/>
              <w:spacing w:line="2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43" w:type="dxa"/>
            <w:tcBorders>
              <w:top w:val="nil"/>
              <w:left w:val="nil"/>
              <w:bottom w:val="nil"/>
              <w:right w:val="nil"/>
            </w:tcBorders>
            <w:shd w:val="clear" w:color="000000" w:fill="FFFFFF"/>
            <w:noWrap/>
            <w:vAlign w:val="center"/>
          </w:tcPr>
          <w:p>
            <w:pPr>
              <w:widowControl/>
              <w:spacing w:line="20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394" w:type="dxa"/>
            <w:gridSpan w:val="2"/>
            <w:tcBorders>
              <w:top w:val="nil"/>
              <w:left w:val="nil"/>
              <w:bottom w:val="nil"/>
              <w:right w:val="nil"/>
            </w:tcBorders>
            <w:shd w:val="clear" w:color="000000" w:fill="FFFFFF"/>
            <w:noWrap/>
            <w:vAlign w:val="center"/>
          </w:tcPr>
          <w:p>
            <w:pPr>
              <w:widowControl/>
              <w:spacing w:line="200" w:lineRule="exact"/>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公开01表</w:t>
            </w:r>
          </w:p>
        </w:tc>
      </w:tr>
      <w:tr>
        <w:tblPrEx>
          <w:tblCellMar>
            <w:top w:w="0" w:type="dxa"/>
            <w:left w:w="108" w:type="dxa"/>
            <w:bottom w:w="0" w:type="dxa"/>
            <w:right w:w="108" w:type="dxa"/>
          </w:tblCellMar>
        </w:tblPrEx>
        <w:trPr>
          <w:trHeight w:val="300" w:hRule="atLeast"/>
        </w:trPr>
        <w:tc>
          <w:tcPr>
            <w:tcW w:w="4693" w:type="dxa"/>
            <w:gridSpan w:val="2"/>
            <w:tcBorders>
              <w:top w:val="nil"/>
              <w:left w:val="nil"/>
              <w:bottom w:val="single" w:color="000000" w:sz="4" w:space="0"/>
              <w:right w:val="nil"/>
            </w:tcBorders>
            <w:shd w:val="clear" w:color="000000" w:fill="FFFFFF"/>
            <w:noWrap/>
            <w:vAlign w:val="center"/>
          </w:tcPr>
          <w:p>
            <w:pPr>
              <w:widowControl/>
              <w:spacing w:line="200" w:lineRule="exact"/>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公开部门：重庆市九龙坡公证处</w:t>
            </w:r>
          </w:p>
        </w:tc>
        <w:tc>
          <w:tcPr>
            <w:tcW w:w="4394" w:type="dxa"/>
            <w:gridSpan w:val="2"/>
            <w:tcBorders>
              <w:top w:val="nil"/>
              <w:left w:val="nil"/>
              <w:bottom w:val="single" w:color="000000" w:sz="4" w:space="0"/>
              <w:right w:val="nil"/>
            </w:tcBorders>
            <w:shd w:val="clear" w:color="000000" w:fill="FFFFFF"/>
            <w:noWrap/>
            <w:vAlign w:val="center"/>
          </w:tcPr>
          <w:p>
            <w:pPr>
              <w:widowControl/>
              <w:spacing w:line="200" w:lineRule="exact"/>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469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收入</w:t>
            </w:r>
          </w:p>
        </w:tc>
        <w:tc>
          <w:tcPr>
            <w:tcW w:w="439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支出</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一、一般公共预算财政拨款收入</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一、一般公共服务支出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二、政府性基金预算财政拨款收入</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二、外交支出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三、国有资本经营预算财政拨款收入</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三、国防支出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四、上级补助收入</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四、公共安全支出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501.99</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五、事业收入</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五、教育支出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六、经营收入</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六、科学技术支出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七、附属单位上缴收入</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七、文化旅游体育与传媒支出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八、其他收入</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八、社会保障和就业支出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11.52</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九、卫生健康支出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6.61</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十、节能环保支出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十一、城乡社区支出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十二、农林水支出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十三、交通运输支出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十四、资源勘探工业信息等支出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十五、商业服务业等支出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十六、金融支出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十七、援助其他地区支出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十八、自然资源海洋气象等支出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十九、住房保障支出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19.95</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二十、粮油物资储备支出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二十一、国有资本经营预算支出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二十二、灾害防治及应急管理支出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二十三、其他支出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二十四、债务还本支出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二十五、债务付息支出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二十六、抗疫特别国债安排的支出</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本年收入合计</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本年支出合计</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540.06</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使用非财政拨款结余</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结余分配</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年初结转和结余</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年末结转和结余</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55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114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306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133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00" w:lineRule="exact"/>
              <w:jc w:val="right"/>
              <w:rPr>
                <w:rFonts w:ascii="宋体" w:hAnsi="宋体" w:eastAsia="宋体" w:cs="Arial"/>
                <w:kern w:val="0"/>
                <w:sz w:val="22"/>
                <w:szCs w:val="22"/>
              </w:rPr>
            </w:pPr>
            <w:r>
              <w:rPr>
                <w:rFonts w:hint="eastAsia" w:ascii="宋体" w:hAnsi="宋体" w:eastAsia="宋体" w:cs="Arial"/>
                <w:kern w:val="0"/>
                <w:sz w:val="22"/>
                <w:szCs w:val="22"/>
              </w:rPr>
              <w:t>540.06</w:t>
            </w:r>
          </w:p>
        </w:tc>
      </w:tr>
      <w:tr>
        <w:tblPrEx>
          <w:tblCellMar>
            <w:top w:w="0" w:type="dxa"/>
            <w:left w:w="108" w:type="dxa"/>
            <w:bottom w:w="0" w:type="dxa"/>
            <w:right w:w="108" w:type="dxa"/>
          </w:tblCellMar>
        </w:tblPrEx>
        <w:trPr>
          <w:trHeight w:val="300" w:hRule="atLeast"/>
        </w:trPr>
        <w:tc>
          <w:tcPr>
            <w:tcW w:w="9087" w:type="dxa"/>
            <w:gridSpan w:val="4"/>
            <w:tcBorders>
              <w:top w:val="nil"/>
              <w:left w:val="nil"/>
              <w:bottom w:val="nil"/>
              <w:right w:val="nil"/>
            </w:tcBorders>
            <w:shd w:val="clear" w:color="000000" w:fill="FFFFFF"/>
            <w:noWrap/>
            <w:vAlign w:val="center"/>
          </w:tcPr>
          <w:p>
            <w:pPr>
              <w:widowControl/>
              <w:spacing w:line="200" w:lineRule="exact"/>
              <w:jc w:val="left"/>
              <w:rPr>
                <w:rFonts w:ascii="宋体" w:hAnsi="宋体" w:eastAsia="宋体" w:cs="Arial"/>
                <w:kern w:val="0"/>
                <w:sz w:val="18"/>
                <w:szCs w:val="18"/>
              </w:rPr>
            </w:pPr>
            <w:r>
              <w:rPr>
                <w:rFonts w:hint="eastAsia" w:ascii="宋体" w:hAnsi="宋体" w:eastAsia="宋体" w:cs="Arial"/>
                <w:kern w:val="0"/>
                <w:sz w:val="18"/>
                <w:szCs w:val="18"/>
              </w:rPr>
              <w:t>备注：本表反映部门本年度的总收支和年末结转结余等情况。</w:t>
            </w:r>
          </w:p>
        </w:tc>
      </w:tr>
    </w:tbl>
    <w:p>
      <w:pPr>
        <w:rPr>
          <w:szCs w:val="32"/>
        </w:rPr>
        <w:sectPr>
          <w:footerReference r:id="rId3" w:type="default"/>
          <w:footerReference r:id="rId4" w:type="even"/>
          <w:pgSz w:w="11906" w:h="16838"/>
          <w:pgMar w:top="2098" w:right="1531" w:bottom="1985" w:left="1531" w:header="851" w:footer="1474" w:gutter="0"/>
          <w:cols w:space="720" w:num="1"/>
          <w:docGrid w:linePitch="579" w:charSpace="-849"/>
        </w:sectPr>
      </w:pPr>
    </w:p>
    <w:p>
      <w:pPr>
        <w:adjustRightInd w:val="0"/>
        <w:snapToGrid w:val="0"/>
        <w:spacing w:line="600" w:lineRule="exact"/>
        <w:ind w:right="54" w:rightChars="17"/>
        <w:rPr>
          <w:rFonts w:ascii="方正黑体_GBK" w:eastAsia="方正黑体_GBK"/>
          <w:szCs w:val="32"/>
        </w:rPr>
      </w:pPr>
      <w:r>
        <w:rPr>
          <w:rFonts w:hint="eastAsia" w:ascii="方正黑体_GBK" w:eastAsia="方正黑体_GBK"/>
          <w:szCs w:val="32"/>
        </w:rPr>
        <w:t>附件2</w:t>
      </w:r>
    </w:p>
    <w:tbl>
      <w:tblPr>
        <w:tblStyle w:val="14"/>
        <w:tblW w:w="14036" w:type="dxa"/>
        <w:tblInd w:w="93" w:type="dxa"/>
        <w:tblLayout w:type="autofit"/>
        <w:tblCellMar>
          <w:top w:w="0" w:type="dxa"/>
          <w:left w:w="108" w:type="dxa"/>
          <w:bottom w:w="0" w:type="dxa"/>
          <w:right w:w="108" w:type="dxa"/>
        </w:tblCellMar>
      </w:tblPr>
      <w:tblGrid>
        <w:gridCol w:w="2142"/>
        <w:gridCol w:w="1544"/>
        <w:gridCol w:w="236"/>
        <w:gridCol w:w="236"/>
        <w:gridCol w:w="1527"/>
        <w:gridCol w:w="608"/>
        <w:gridCol w:w="774"/>
        <w:gridCol w:w="502"/>
        <w:gridCol w:w="951"/>
        <w:gridCol w:w="324"/>
        <w:gridCol w:w="810"/>
        <w:gridCol w:w="324"/>
        <w:gridCol w:w="527"/>
        <w:gridCol w:w="867"/>
        <w:gridCol w:w="125"/>
        <w:gridCol w:w="324"/>
        <w:gridCol w:w="385"/>
        <w:gridCol w:w="849"/>
        <w:gridCol w:w="710"/>
        <w:gridCol w:w="243"/>
        <w:gridCol w:w="28"/>
      </w:tblGrid>
      <w:tr>
        <w:tblPrEx>
          <w:tblCellMar>
            <w:top w:w="0" w:type="dxa"/>
            <w:left w:w="108" w:type="dxa"/>
            <w:bottom w:w="0" w:type="dxa"/>
            <w:right w:w="108" w:type="dxa"/>
          </w:tblCellMar>
        </w:tblPrEx>
        <w:trPr>
          <w:gridAfter w:val="1"/>
          <w:wAfter w:w="28" w:type="dxa"/>
          <w:trHeight w:val="555" w:hRule="atLeast"/>
        </w:trPr>
        <w:tc>
          <w:tcPr>
            <w:tcW w:w="3686"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322" w:type="dxa"/>
            <w:gridSpan w:val="18"/>
            <w:tcBorders>
              <w:top w:val="nil"/>
              <w:left w:val="nil"/>
              <w:bottom w:val="nil"/>
              <w:right w:val="nil"/>
            </w:tcBorders>
            <w:shd w:val="clear" w:color="000000" w:fill="FFFFFF"/>
            <w:noWrap/>
            <w:vAlign w:val="center"/>
          </w:tcPr>
          <w:p>
            <w:pPr>
              <w:widowControl/>
              <w:ind w:firstLine="1540" w:firstLineChars="350"/>
              <w:rPr>
                <w:rFonts w:ascii="黑体" w:hAnsi="黑体" w:eastAsia="黑体" w:cs="Arial"/>
                <w:color w:val="000000"/>
                <w:kern w:val="0"/>
                <w:sz w:val="44"/>
                <w:szCs w:val="44"/>
              </w:rPr>
            </w:pPr>
            <w:r>
              <w:rPr>
                <w:rFonts w:hint="eastAsia" w:ascii="黑体" w:hAnsi="黑体" w:eastAsia="黑体" w:cs="Arial"/>
                <w:color w:val="000000"/>
                <w:kern w:val="0"/>
                <w:sz w:val="44"/>
                <w:szCs w:val="44"/>
              </w:rPr>
              <w:t>收入决算表</w:t>
            </w:r>
          </w:p>
        </w:tc>
      </w:tr>
      <w:tr>
        <w:tblPrEx>
          <w:tblCellMar>
            <w:top w:w="0" w:type="dxa"/>
            <w:left w:w="108" w:type="dxa"/>
            <w:bottom w:w="0" w:type="dxa"/>
            <w:right w:w="108" w:type="dxa"/>
          </w:tblCellMar>
        </w:tblPrEx>
        <w:trPr>
          <w:trHeight w:val="300" w:hRule="atLeast"/>
        </w:trPr>
        <w:tc>
          <w:tcPr>
            <w:tcW w:w="3686"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3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3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35"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76"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75"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34"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394"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49"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15" w:type="dxa"/>
            <w:gridSpan w:val="5"/>
            <w:tcBorders>
              <w:top w:val="nil"/>
              <w:left w:val="nil"/>
              <w:bottom w:val="nil"/>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公开02表</w:t>
            </w:r>
          </w:p>
        </w:tc>
      </w:tr>
      <w:tr>
        <w:tblPrEx>
          <w:tblCellMar>
            <w:top w:w="0" w:type="dxa"/>
            <w:left w:w="108" w:type="dxa"/>
            <w:bottom w:w="0" w:type="dxa"/>
            <w:right w:w="108" w:type="dxa"/>
          </w:tblCellMar>
        </w:tblPrEx>
        <w:trPr>
          <w:cantSplit/>
          <w:trHeight w:val="300" w:hRule="atLeast"/>
        </w:trPr>
        <w:tc>
          <w:tcPr>
            <w:tcW w:w="3686" w:type="dxa"/>
            <w:gridSpan w:val="2"/>
            <w:tcBorders>
              <w:top w:val="nil"/>
              <w:left w:val="nil"/>
              <w:bottom w:val="single" w:color="808080" w:sz="4" w:space="0"/>
              <w:right w:val="nil"/>
            </w:tcBorders>
            <w:shd w:val="clear" w:color="000000" w:fill="FFFFFF"/>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公开部门：重庆市九龙坡公证处</w:t>
            </w:r>
          </w:p>
        </w:tc>
        <w:tc>
          <w:tcPr>
            <w:tcW w:w="236" w:type="dxa"/>
            <w:tcBorders>
              <w:top w:val="nil"/>
              <w:left w:val="nil"/>
              <w:bottom w:val="single" w:color="auto"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36" w:type="dxa"/>
            <w:tcBorders>
              <w:top w:val="nil"/>
              <w:left w:val="nil"/>
              <w:bottom w:val="single" w:color="auto"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35" w:type="dxa"/>
            <w:gridSpan w:val="2"/>
            <w:tcBorders>
              <w:top w:val="nil"/>
              <w:left w:val="nil"/>
              <w:bottom w:val="single" w:color="auto"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76" w:type="dxa"/>
            <w:gridSpan w:val="2"/>
            <w:tcBorders>
              <w:top w:val="nil"/>
              <w:left w:val="nil"/>
              <w:bottom w:val="single" w:color="auto"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75" w:type="dxa"/>
            <w:gridSpan w:val="2"/>
            <w:tcBorders>
              <w:top w:val="nil"/>
              <w:left w:val="nil"/>
              <w:bottom w:val="single" w:color="auto" w:sz="4" w:space="0"/>
              <w:right w:val="nil"/>
            </w:tcBorders>
            <w:shd w:val="clear" w:color="000000" w:fill="FFFFFF"/>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　</w:t>
            </w:r>
          </w:p>
        </w:tc>
        <w:tc>
          <w:tcPr>
            <w:tcW w:w="1134" w:type="dxa"/>
            <w:gridSpan w:val="2"/>
            <w:tcBorders>
              <w:top w:val="nil"/>
              <w:left w:val="nil"/>
              <w:bottom w:val="single" w:color="auto"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394" w:type="dxa"/>
            <w:gridSpan w:val="2"/>
            <w:tcBorders>
              <w:top w:val="nil"/>
              <w:left w:val="nil"/>
              <w:bottom w:val="single" w:color="auto"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49" w:type="dxa"/>
            <w:gridSpan w:val="2"/>
            <w:tcBorders>
              <w:top w:val="nil"/>
              <w:left w:val="nil"/>
              <w:bottom w:val="single" w:color="auto"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15" w:type="dxa"/>
            <w:gridSpan w:val="5"/>
            <w:tcBorders>
              <w:top w:val="nil"/>
              <w:left w:val="nil"/>
              <w:bottom w:val="single" w:color="auto" w:sz="4" w:space="0"/>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gridAfter w:val="2"/>
          <w:wAfter w:w="271" w:type="dxa"/>
          <w:trHeight w:val="300" w:hRule="atLeast"/>
        </w:trPr>
        <w:tc>
          <w:tcPr>
            <w:tcW w:w="5685"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1382"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本年收入合计</w:t>
            </w:r>
          </w:p>
        </w:tc>
        <w:tc>
          <w:tcPr>
            <w:tcW w:w="1453"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财政拨款收入</w:t>
            </w:r>
          </w:p>
        </w:tc>
        <w:tc>
          <w:tcPr>
            <w:tcW w:w="1134"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上级补助收入</w:t>
            </w:r>
          </w:p>
        </w:tc>
        <w:tc>
          <w:tcPr>
            <w:tcW w:w="1843" w:type="dxa"/>
            <w:gridSpan w:val="4"/>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事业收入</w:t>
            </w:r>
          </w:p>
        </w:tc>
        <w:tc>
          <w:tcPr>
            <w:tcW w:w="709"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经营收入</w:t>
            </w:r>
          </w:p>
        </w:tc>
        <w:tc>
          <w:tcPr>
            <w:tcW w:w="849"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附属单位上缴收入</w:t>
            </w:r>
          </w:p>
        </w:tc>
        <w:tc>
          <w:tcPr>
            <w:tcW w:w="71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其他收入</w:t>
            </w:r>
          </w:p>
        </w:tc>
      </w:tr>
      <w:tr>
        <w:tblPrEx>
          <w:tblCellMar>
            <w:top w:w="0" w:type="dxa"/>
            <w:left w:w="108" w:type="dxa"/>
            <w:bottom w:w="0" w:type="dxa"/>
            <w:right w:w="108" w:type="dxa"/>
          </w:tblCellMar>
        </w:tblPrEx>
        <w:trPr>
          <w:gridAfter w:val="2"/>
          <w:wAfter w:w="271" w:type="dxa"/>
          <w:trHeight w:val="300" w:hRule="atLeast"/>
        </w:trPr>
        <w:tc>
          <w:tcPr>
            <w:tcW w:w="2142"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543" w:type="dxa"/>
            <w:gridSpan w:val="4"/>
            <w:vMerge w:val="restart"/>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138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453"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134"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851"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小计</w:t>
            </w:r>
          </w:p>
        </w:tc>
        <w:tc>
          <w:tcPr>
            <w:tcW w:w="992"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其中：教育收费</w:t>
            </w:r>
          </w:p>
        </w:tc>
        <w:tc>
          <w:tcPr>
            <w:tcW w:w="709"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849"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71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gridAfter w:val="2"/>
          <w:wAfter w:w="271" w:type="dxa"/>
          <w:trHeight w:val="300" w:hRule="atLeast"/>
        </w:trPr>
        <w:tc>
          <w:tcPr>
            <w:tcW w:w="214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3543" w:type="dxa"/>
            <w:gridSpan w:val="4"/>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38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453"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134"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851"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99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709"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849"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71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gridAfter w:val="2"/>
          <w:wAfter w:w="271" w:type="dxa"/>
          <w:trHeight w:val="300" w:hRule="atLeast"/>
        </w:trPr>
        <w:tc>
          <w:tcPr>
            <w:tcW w:w="214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3543" w:type="dxa"/>
            <w:gridSpan w:val="4"/>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38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453"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134"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851"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99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709"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849"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71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gridAfter w:val="2"/>
          <w:wAfter w:w="271" w:type="dxa"/>
          <w:trHeight w:val="300" w:hRule="atLeast"/>
        </w:trPr>
        <w:tc>
          <w:tcPr>
            <w:tcW w:w="5685"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公共安全支出</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501.99</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501.99</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20406</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司法</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501.99</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501.99</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2040606</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律师管理</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245.83</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245.83</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2040650</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事业运行</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256.16</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256.16</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0"/>
              </w:rPr>
            </w:pPr>
            <w:r>
              <w:rPr>
                <w:rFonts w:hint="eastAsia" w:ascii="宋体" w:hAnsi="宋体" w:eastAsia="宋体" w:cs="Arial"/>
                <w:b/>
                <w:bCs/>
                <w:kern w:val="0"/>
                <w:sz w:val="20"/>
              </w:rPr>
              <w:t>社会保障和就业支出</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20805</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0"/>
              </w:rPr>
            </w:pPr>
            <w:r>
              <w:rPr>
                <w:rFonts w:hint="eastAsia" w:ascii="宋体" w:hAnsi="宋体" w:eastAsia="宋体" w:cs="Arial"/>
                <w:b/>
                <w:bCs/>
                <w:kern w:val="0"/>
                <w:sz w:val="20"/>
              </w:rPr>
              <w:t>行政事业单位养老支出</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2080505</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机关事业单位基本养老保险缴费支出</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8.71</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8.71</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2080599</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其他行政事业单位养老支出</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2.81</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2.81</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卫生健康支出</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21011</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行政事业单位医疗</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2101102</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事业单位医疗</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5.59</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5.59</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2101199</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其他行政事业单位医疗支出</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1.02</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1.02</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住房保障支出</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22102</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住房改革支出</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21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2210201</w:t>
            </w:r>
          </w:p>
        </w:tc>
        <w:tc>
          <w:tcPr>
            <w:tcW w:w="3543" w:type="dxa"/>
            <w:gridSpan w:val="4"/>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138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19.95</w:t>
            </w:r>
          </w:p>
        </w:tc>
        <w:tc>
          <w:tcPr>
            <w:tcW w:w="145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19.95</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4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gridAfter w:val="2"/>
          <w:wAfter w:w="271" w:type="dxa"/>
          <w:trHeight w:val="300" w:hRule="atLeast"/>
        </w:trPr>
        <w:tc>
          <w:tcPr>
            <w:tcW w:w="13765" w:type="dxa"/>
            <w:gridSpan w:val="19"/>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备注：本表反映部门本年度取得的各项收入情况。</w:t>
            </w:r>
          </w:p>
        </w:tc>
      </w:tr>
    </w:tbl>
    <w:p>
      <w:pPr>
        <w:rPr>
          <w:szCs w:val="32"/>
        </w:rPr>
        <w:sectPr>
          <w:pgSz w:w="16838" w:h="11906" w:orient="landscape"/>
          <w:pgMar w:top="1531" w:right="1985" w:bottom="1531" w:left="2098" w:header="851" w:footer="1474" w:gutter="0"/>
          <w:cols w:space="720" w:num="1"/>
          <w:docGrid w:linePitch="579" w:charSpace="-849"/>
        </w:sect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附表3</w:t>
      </w:r>
    </w:p>
    <w:tbl>
      <w:tblPr>
        <w:tblStyle w:val="14"/>
        <w:tblW w:w="9484" w:type="dxa"/>
        <w:tblInd w:w="93" w:type="dxa"/>
        <w:tblLayout w:type="autofit"/>
        <w:tblCellMar>
          <w:top w:w="0" w:type="dxa"/>
          <w:left w:w="108" w:type="dxa"/>
          <w:bottom w:w="0" w:type="dxa"/>
          <w:right w:w="108" w:type="dxa"/>
        </w:tblCellMar>
      </w:tblPr>
      <w:tblGrid>
        <w:gridCol w:w="665"/>
        <w:gridCol w:w="222"/>
        <w:gridCol w:w="222"/>
        <w:gridCol w:w="3017"/>
        <w:gridCol w:w="753"/>
        <w:gridCol w:w="239"/>
        <w:gridCol w:w="639"/>
        <w:gridCol w:w="637"/>
        <w:gridCol w:w="1119"/>
        <w:gridCol w:w="660"/>
        <w:gridCol w:w="660"/>
        <w:gridCol w:w="660"/>
      </w:tblGrid>
      <w:tr>
        <w:tblPrEx>
          <w:tblCellMar>
            <w:top w:w="0" w:type="dxa"/>
            <w:left w:w="108" w:type="dxa"/>
            <w:bottom w:w="0" w:type="dxa"/>
            <w:right w:w="108" w:type="dxa"/>
          </w:tblCellMar>
        </w:tblPrEx>
        <w:trPr>
          <w:trHeight w:val="555" w:hRule="atLeast"/>
        </w:trPr>
        <w:tc>
          <w:tcPr>
            <w:tcW w:w="66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819" w:type="dxa"/>
            <w:gridSpan w:val="11"/>
            <w:tcBorders>
              <w:top w:val="nil"/>
              <w:left w:val="nil"/>
              <w:bottom w:val="nil"/>
              <w:right w:val="nil"/>
            </w:tcBorders>
            <w:shd w:val="clear" w:color="000000" w:fill="FFFFFF"/>
            <w:noWrap/>
            <w:vAlign w:val="center"/>
          </w:tcPr>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支出决算表</w:t>
            </w:r>
          </w:p>
        </w:tc>
      </w:tr>
      <w:tr>
        <w:tblPrEx>
          <w:tblCellMar>
            <w:top w:w="0" w:type="dxa"/>
            <w:left w:w="108" w:type="dxa"/>
            <w:bottom w:w="0" w:type="dxa"/>
            <w:right w:w="108" w:type="dxa"/>
          </w:tblCellMar>
        </w:tblPrEx>
        <w:trPr>
          <w:trHeight w:val="300" w:hRule="atLeast"/>
        </w:trPr>
        <w:tc>
          <w:tcPr>
            <w:tcW w:w="66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70"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78"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3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19"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66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70"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78"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37"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090" w:type="dxa"/>
            <w:gridSpan w:val="4"/>
            <w:tcBorders>
              <w:top w:val="nil"/>
              <w:left w:val="nil"/>
              <w:bottom w:val="nil"/>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公开03表</w:t>
            </w:r>
          </w:p>
        </w:tc>
      </w:tr>
      <w:tr>
        <w:tblPrEx>
          <w:tblCellMar>
            <w:top w:w="0" w:type="dxa"/>
            <w:left w:w="108" w:type="dxa"/>
            <w:bottom w:w="0" w:type="dxa"/>
            <w:right w:w="108" w:type="dxa"/>
          </w:tblCellMar>
        </w:tblPrEx>
        <w:trPr>
          <w:trHeight w:val="300" w:hRule="atLeast"/>
        </w:trPr>
        <w:tc>
          <w:tcPr>
            <w:tcW w:w="6394" w:type="dxa"/>
            <w:gridSpan w:val="8"/>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公开部门：重庆市九龙坡公证处</w:t>
            </w:r>
          </w:p>
        </w:tc>
        <w:tc>
          <w:tcPr>
            <w:tcW w:w="3090" w:type="dxa"/>
            <w:gridSpan w:val="4"/>
            <w:tcBorders>
              <w:top w:val="nil"/>
              <w:left w:val="nil"/>
              <w:bottom w:val="single" w:color="000000" w:sz="4" w:space="0"/>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412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992"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本年支出合计</w:t>
            </w:r>
          </w:p>
        </w:tc>
        <w:tc>
          <w:tcPr>
            <w:tcW w:w="1276"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1119"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c>
          <w:tcPr>
            <w:tcW w:w="657"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上缴上级支出</w:t>
            </w:r>
          </w:p>
        </w:tc>
        <w:tc>
          <w:tcPr>
            <w:tcW w:w="657"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经营支出</w:t>
            </w:r>
          </w:p>
        </w:tc>
        <w:tc>
          <w:tcPr>
            <w:tcW w:w="657"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对附属单位补助支出</w:t>
            </w:r>
          </w:p>
        </w:tc>
      </w:tr>
      <w:tr>
        <w:tblPrEx>
          <w:tblCellMar>
            <w:top w:w="0" w:type="dxa"/>
            <w:left w:w="108" w:type="dxa"/>
            <w:bottom w:w="0" w:type="dxa"/>
            <w:right w:w="108" w:type="dxa"/>
          </w:tblCellMar>
        </w:tblPrEx>
        <w:trPr>
          <w:trHeight w:val="300" w:hRule="atLeast"/>
        </w:trPr>
        <w:tc>
          <w:tcPr>
            <w:tcW w:w="1109"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017" w:type="dxa"/>
            <w:vMerge w:val="restart"/>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99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276"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119"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1109"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301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99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276"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119"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1109"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301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99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276"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119"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657"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412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294.23</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245.83</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公共安全支出</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501.99</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256.16</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245.83</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20406</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司法</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501.99</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256.16</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245.83</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2040606</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律师管理</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245.83</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245.83</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2040650</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事业运行</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256.16</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256.16</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0"/>
              </w:rPr>
            </w:pPr>
            <w:r>
              <w:rPr>
                <w:rFonts w:hint="eastAsia" w:ascii="宋体" w:hAnsi="宋体" w:eastAsia="宋体" w:cs="Arial"/>
                <w:b/>
                <w:bCs/>
                <w:kern w:val="0"/>
                <w:sz w:val="20"/>
              </w:rPr>
              <w:t>社会保障和就业支出</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20805</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0"/>
              </w:rPr>
            </w:pPr>
            <w:r>
              <w:rPr>
                <w:rFonts w:hint="eastAsia" w:ascii="宋体" w:hAnsi="宋体" w:eastAsia="宋体" w:cs="Arial"/>
                <w:b/>
                <w:bCs/>
                <w:kern w:val="0"/>
                <w:sz w:val="20"/>
              </w:rPr>
              <w:t>行政事业单位养老支出</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2080505</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机关事业单位基本养老保险缴费支出</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8.71</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8.71</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2080599</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其他行政事业单位养老支出</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2.81</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2.81</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卫生健康支出</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21011</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行政事业单位医疗</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2101102</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事业单位医疗</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5.59</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5.59</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2101199</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其他行政事业单位医疗支出</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1.02</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1.02</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住房保障支出</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22102</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住房改革支出</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1109"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2210201</w:t>
            </w:r>
          </w:p>
        </w:tc>
        <w:tc>
          <w:tcPr>
            <w:tcW w:w="301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19.95</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19.95</w:t>
            </w:r>
          </w:p>
        </w:tc>
        <w:tc>
          <w:tcPr>
            <w:tcW w:w="1119"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7"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484" w:type="dxa"/>
            <w:gridSpan w:val="12"/>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备注：本表反映部门本年度各项支出情况。</w:t>
            </w:r>
          </w:p>
        </w:tc>
      </w:tr>
    </w:tbl>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adjustRightInd w:val="0"/>
        <w:snapToGrid w:val="0"/>
        <w:spacing w:line="600" w:lineRule="exact"/>
        <w:ind w:right="54" w:rightChars="17"/>
        <w:rPr>
          <w:szCs w:val="32"/>
        </w:r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附件4</w:t>
      </w:r>
    </w:p>
    <w:tbl>
      <w:tblPr>
        <w:tblStyle w:val="14"/>
        <w:tblW w:w="9371" w:type="dxa"/>
        <w:tblInd w:w="93" w:type="dxa"/>
        <w:tblLayout w:type="autofit"/>
        <w:tblCellMar>
          <w:top w:w="0" w:type="dxa"/>
          <w:left w:w="108" w:type="dxa"/>
          <w:bottom w:w="0" w:type="dxa"/>
          <w:right w:w="108" w:type="dxa"/>
        </w:tblCellMar>
      </w:tblPr>
      <w:tblGrid>
        <w:gridCol w:w="1360"/>
        <w:gridCol w:w="1200"/>
        <w:gridCol w:w="1480"/>
        <w:gridCol w:w="86"/>
        <w:gridCol w:w="1094"/>
        <w:gridCol w:w="182"/>
        <w:gridCol w:w="1276"/>
        <w:gridCol w:w="1275"/>
        <w:gridCol w:w="1418"/>
      </w:tblGrid>
      <w:tr>
        <w:tblPrEx>
          <w:tblCellMar>
            <w:top w:w="0" w:type="dxa"/>
            <w:left w:w="108" w:type="dxa"/>
            <w:bottom w:w="0" w:type="dxa"/>
            <w:right w:w="108" w:type="dxa"/>
          </w:tblCellMar>
        </w:tblPrEx>
        <w:trPr>
          <w:trHeight w:val="555" w:hRule="atLeast"/>
        </w:trPr>
        <w:tc>
          <w:tcPr>
            <w:tcW w:w="9371" w:type="dxa"/>
            <w:gridSpan w:val="9"/>
            <w:tcBorders>
              <w:top w:val="nil"/>
              <w:left w:val="nil"/>
              <w:bottom w:val="nil"/>
              <w:right w:val="nil"/>
            </w:tcBorders>
            <w:shd w:val="clear" w:color="000000" w:fill="FFFFFF"/>
            <w:vAlign w:val="center"/>
          </w:tcPr>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财政拨款收入支出决算总表</w:t>
            </w:r>
          </w:p>
        </w:tc>
      </w:tr>
      <w:tr>
        <w:tblPrEx>
          <w:tblCellMar>
            <w:top w:w="0" w:type="dxa"/>
            <w:left w:w="108" w:type="dxa"/>
            <w:bottom w:w="0" w:type="dxa"/>
            <w:right w:w="108" w:type="dxa"/>
          </w:tblCellMar>
        </w:tblPrEx>
        <w:trPr>
          <w:trHeight w:val="300" w:hRule="atLeast"/>
        </w:trPr>
        <w:tc>
          <w:tcPr>
            <w:tcW w:w="1360" w:type="dxa"/>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00" w:type="dxa"/>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480" w:type="dxa"/>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80" w:type="dxa"/>
            <w:gridSpan w:val="2"/>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151" w:type="dxa"/>
            <w:gridSpan w:val="4"/>
            <w:tcBorders>
              <w:top w:val="nil"/>
              <w:left w:val="nil"/>
              <w:bottom w:val="nil"/>
              <w:right w:val="nil"/>
            </w:tcBorders>
            <w:shd w:val="clear" w:color="000000" w:fill="FFFFFF"/>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公开04表</w:t>
            </w:r>
          </w:p>
        </w:tc>
      </w:tr>
      <w:tr>
        <w:tblPrEx>
          <w:tblCellMar>
            <w:top w:w="0" w:type="dxa"/>
            <w:left w:w="108" w:type="dxa"/>
            <w:bottom w:w="0" w:type="dxa"/>
            <w:right w:w="108" w:type="dxa"/>
          </w:tblCellMar>
        </w:tblPrEx>
        <w:trPr>
          <w:trHeight w:val="300" w:hRule="atLeast"/>
        </w:trPr>
        <w:tc>
          <w:tcPr>
            <w:tcW w:w="5220" w:type="dxa"/>
            <w:gridSpan w:val="5"/>
            <w:tcBorders>
              <w:top w:val="nil"/>
              <w:left w:val="nil"/>
              <w:bottom w:val="single" w:color="000000" w:sz="4" w:space="0"/>
              <w:right w:val="nil"/>
            </w:tcBorders>
            <w:shd w:val="clear" w:color="000000" w:fill="FFFFFF"/>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公开部门：重庆市九龙坡公证处</w:t>
            </w:r>
          </w:p>
        </w:tc>
        <w:tc>
          <w:tcPr>
            <w:tcW w:w="4151" w:type="dxa"/>
            <w:gridSpan w:val="4"/>
            <w:tcBorders>
              <w:top w:val="nil"/>
              <w:left w:val="nil"/>
              <w:bottom w:val="single" w:color="000000" w:sz="4" w:space="0"/>
              <w:right w:val="nil"/>
            </w:tcBorders>
            <w:shd w:val="clear" w:color="000000" w:fill="FFFFFF"/>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256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收     入</w:t>
            </w:r>
          </w:p>
        </w:tc>
        <w:tc>
          <w:tcPr>
            <w:tcW w:w="6811" w:type="dxa"/>
            <w:gridSpan w:val="7"/>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支     出</w:t>
            </w:r>
          </w:p>
        </w:tc>
      </w:tr>
      <w:tr>
        <w:tblPrEx>
          <w:tblCellMar>
            <w:top w:w="0" w:type="dxa"/>
            <w:left w:w="108" w:type="dxa"/>
            <w:bottom w:w="0" w:type="dxa"/>
            <w:right w:w="108" w:type="dxa"/>
          </w:tblCellMar>
        </w:tblPrEx>
        <w:trPr>
          <w:trHeight w:val="285" w:hRule="atLeast"/>
        </w:trPr>
        <w:tc>
          <w:tcPr>
            <w:tcW w:w="1360"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    目</w:t>
            </w:r>
          </w:p>
        </w:tc>
        <w:tc>
          <w:tcPr>
            <w:tcW w:w="120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c>
          <w:tcPr>
            <w:tcW w:w="1566"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w:t>
            </w:r>
          </w:p>
        </w:tc>
        <w:tc>
          <w:tcPr>
            <w:tcW w:w="5245" w:type="dxa"/>
            <w:gridSpan w:val="5"/>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r>
      <w:tr>
        <w:tblPrEx>
          <w:tblCellMar>
            <w:top w:w="0" w:type="dxa"/>
            <w:left w:w="108" w:type="dxa"/>
            <w:bottom w:w="0" w:type="dxa"/>
            <w:right w:w="108" w:type="dxa"/>
          </w:tblCellMar>
        </w:tblPrEx>
        <w:trPr>
          <w:trHeight w:val="600" w:hRule="atLeast"/>
        </w:trPr>
        <w:tc>
          <w:tcPr>
            <w:tcW w:w="136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2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566"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小计</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一般公共预算财政拨款</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政府性基金预算财政拨款</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国有资本经营预算财政拨款</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一、一般公共预算财政拨款</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一、一般公共服务支出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二、政府性基金预算财政拨款</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二、外交支出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三、国有资本经营预算财政拨款</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三、国防支出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四、公共安全支出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501.99</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501.99</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五、教育支出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六、科学技术支出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七、文化旅游体育与传媒支出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八、社会保障和就业支出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11.52</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11.52</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九、卫生健康支出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6.61</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6.61</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十、节能环保支出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十一、城乡社区支出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十二、农林水支出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十三、交通运输支出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十四、资源勘探工业信息等支出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十五、商业服务业等支出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十六、金融支出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十七、援助其他地区支出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十八、自然资源海洋气象等支出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十九、住房保障支出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19.95</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19.95</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二十、粮油物资储备支出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二十一、国有资本经营预算支出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二十二、灾害防治及应急管理支出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二十三、其他支出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本年收入合计</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二十四、债务还本支出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年初财政拨款结转和结余</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二十五、债务付息支出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一、一般公共预算财政拨款</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二十六、抗疫特别国债安排的支出</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二、政府性基金预算财政拨款</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本年支出合计</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三、国有资本经营预算财政拨款</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年末财政拨款结转和结余</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13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1200"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56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276"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275"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60" w:hRule="atLeast"/>
        </w:trPr>
        <w:tc>
          <w:tcPr>
            <w:tcW w:w="9371" w:type="dxa"/>
            <w:gridSpan w:val="9"/>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备注：本表反映部门本年度一般公共预算财政拨款、政府性基金预算财政拨款及国有资本经营预算财政拨款的总收支和年末结转结余情况。</w:t>
            </w:r>
          </w:p>
        </w:tc>
      </w:tr>
    </w:tbl>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附件5</w:t>
      </w:r>
    </w:p>
    <w:p>
      <w:pPr>
        <w:widowControl/>
        <w:rPr>
          <w:rFonts w:ascii="方正黑体_GBK" w:hAnsi="黑体" w:eastAsia="方正黑体_GBK" w:cs="Arial"/>
          <w:color w:val="000000"/>
          <w:kern w:val="0"/>
          <w:szCs w:val="32"/>
        </w:rPr>
      </w:pPr>
    </w:p>
    <w:tbl>
      <w:tblPr>
        <w:tblStyle w:val="14"/>
        <w:tblW w:w="9087" w:type="dxa"/>
        <w:tblInd w:w="93" w:type="dxa"/>
        <w:tblLayout w:type="autofit"/>
        <w:tblCellMar>
          <w:top w:w="0" w:type="dxa"/>
          <w:left w:w="108" w:type="dxa"/>
          <w:bottom w:w="0" w:type="dxa"/>
          <w:right w:w="108" w:type="dxa"/>
        </w:tblCellMar>
      </w:tblPr>
      <w:tblGrid>
        <w:gridCol w:w="400"/>
        <w:gridCol w:w="314"/>
        <w:gridCol w:w="273"/>
        <w:gridCol w:w="3734"/>
        <w:gridCol w:w="1545"/>
        <w:gridCol w:w="128"/>
        <w:gridCol w:w="1257"/>
        <w:gridCol w:w="161"/>
        <w:gridCol w:w="1275"/>
      </w:tblGrid>
      <w:tr>
        <w:tblPrEx>
          <w:tblCellMar>
            <w:top w:w="0" w:type="dxa"/>
            <w:left w:w="108" w:type="dxa"/>
            <w:bottom w:w="0" w:type="dxa"/>
            <w:right w:w="108" w:type="dxa"/>
          </w:tblCellMar>
        </w:tblPrEx>
        <w:trPr>
          <w:trHeight w:val="555" w:hRule="atLeast"/>
        </w:trPr>
        <w:tc>
          <w:tcPr>
            <w:tcW w:w="9087" w:type="dxa"/>
            <w:gridSpan w:val="9"/>
            <w:tcBorders>
              <w:top w:val="nil"/>
              <w:left w:val="nil"/>
              <w:bottom w:val="nil"/>
              <w:right w:val="nil"/>
            </w:tcBorders>
            <w:shd w:val="clear" w:color="000000" w:fill="FFFFFF"/>
            <w:noWrap/>
            <w:vAlign w:val="center"/>
          </w:tcPr>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一般公共预算财政拨款支出决算表</w:t>
            </w:r>
          </w:p>
        </w:tc>
      </w:tr>
      <w:tr>
        <w:tblPrEx>
          <w:tblCellMar>
            <w:top w:w="0" w:type="dxa"/>
            <w:left w:w="108" w:type="dxa"/>
            <w:bottom w:w="0" w:type="dxa"/>
            <w:right w:w="108" w:type="dxa"/>
          </w:tblCellMar>
        </w:tblPrEx>
        <w:trPr>
          <w:trHeight w:val="300" w:hRule="atLeast"/>
        </w:trPr>
        <w:tc>
          <w:tcPr>
            <w:tcW w:w="40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3"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3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385"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436"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40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3"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3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821" w:type="dxa"/>
            <w:gridSpan w:val="4"/>
            <w:tcBorders>
              <w:top w:val="nil"/>
              <w:left w:val="nil"/>
              <w:bottom w:val="nil"/>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公开05表</w:t>
            </w:r>
          </w:p>
        </w:tc>
      </w:tr>
      <w:tr>
        <w:tblPrEx>
          <w:tblCellMar>
            <w:top w:w="0" w:type="dxa"/>
            <w:left w:w="108" w:type="dxa"/>
            <w:bottom w:w="0" w:type="dxa"/>
            <w:right w:w="108" w:type="dxa"/>
          </w:tblCellMar>
        </w:tblPrEx>
        <w:trPr>
          <w:trHeight w:val="300" w:hRule="atLeast"/>
        </w:trPr>
        <w:tc>
          <w:tcPr>
            <w:tcW w:w="6266" w:type="dxa"/>
            <w:gridSpan w:val="5"/>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公开部门：重庆市九龙坡公证处</w:t>
            </w:r>
          </w:p>
        </w:tc>
        <w:tc>
          <w:tcPr>
            <w:tcW w:w="2821" w:type="dxa"/>
            <w:gridSpan w:val="4"/>
            <w:tcBorders>
              <w:top w:val="nil"/>
              <w:left w:val="nil"/>
              <w:bottom w:val="single" w:color="000000" w:sz="4" w:space="0"/>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4721"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4366" w:type="dxa"/>
            <w:gridSpan w:val="5"/>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w:t>
            </w:r>
          </w:p>
        </w:tc>
      </w:tr>
      <w:tr>
        <w:tblPrEx>
          <w:tblCellMar>
            <w:top w:w="0" w:type="dxa"/>
            <w:left w:w="108" w:type="dxa"/>
            <w:bottom w:w="0" w:type="dxa"/>
            <w:right w:w="108" w:type="dxa"/>
          </w:tblCellMar>
        </w:tblPrEx>
        <w:trPr>
          <w:trHeight w:val="300" w:hRule="atLeast"/>
        </w:trPr>
        <w:tc>
          <w:tcPr>
            <w:tcW w:w="987"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734"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1673"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418"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1275"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r>
      <w:tr>
        <w:tblPrEx>
          <w:tblCellMar>
            <w:top w:w="0" w:type="dxa"/>
            <w:left w:w="108" w:type="dxa"/>
            <w:bottom w:w="0" w:type="dxa"/>
            <w:right w:w="108" w:type="dxa"/>
          </w:tblCellMar>
        </w:tblPrEx>
        <w:trPr>
          <w:trHeight w:val="286" w:hRule="atLeast"/>
        </w:trPr>
        <w:tc>
          <w:tcPr>
            <w:tcW w:w="987"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373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673"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418"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27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600" w:hRule="atLeast"/>
        </w:trPr>
        <w:tc>
          <w:tcPr>
            <w:tcW w:w="987"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373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673"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418"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27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4721"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540.06</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294.23</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245.83</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公共安全支出</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501.99</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256.16</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245.83</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20406</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司法</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501.99</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256.16</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245.83</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2040606</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律师管理</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245.83</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245.83</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2040650</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事业运行</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256.16</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256.16</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16"/>
                <w:szCs w:val="16"/>
              </w:rPr>
            </w:pPr>
            <w:r>
              <w:rPr>
                <w:rFonts w:hint="eastAsia" w:ascii="宋体" w:hAnsi="宋体" w:eastAsia="宋体" w:cs="Arial"/>
                <w:b/>
                <w:bCs/>
                <w:kern w:val="0"/>
                <w:sz w:val="16"/>
                <w:szCs w:val="16"/>
              </w:rPr>
              <w:t>社会保障和就业支出</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20805</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16"/>
                <w:szCs w:val="16"/>
              </w:rPr>
            </w:pPr>
            <w:r>
              <w:rPr>
                <w:rFonts w:hint="eastAsia" w:ascii="宋体" w:hAnsi="宋体" w:eastAsia="宋体" w:cs="Arial"/>
                <w:b/>
                <w:bCs/>
                <w:kern w:val="0"/>
                <w:sz w:val="16"/>
                <w:szCs w:val="16"/>
              </w:rPr>
              <w:t>行政事业单位养老支出</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11.52</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2080505</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机关事业单位基本养老保险缴费支出</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8.71</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8.71</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2080599</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其他行政事业单位养老支出</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2.81</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2.81</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卫生健康支出</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21011</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行政事业单位医疗</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6.61</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2101102</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事业单位医疗</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5.59</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5.59</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2101199</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其他行政事业单位医疗支出</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1.02</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1.02</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住房保障支出</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22102</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住房改革支出</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19.95</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tblPrEx>
          <w:tblCellMar>
            <w:top w:w="0" w:type="dxa"/>
            <w:left w:w="108" w:type="dxa"/>
            <w:bottom w:w="0" w:type="dxa"/>
            <w:right w:w="108" w:type="dxa"/>
          </w:tblCellMar>
        </w:tblPrEx>
        <w:trPr>
          <w:trHeight w:val="300" w:hRule="atLeast"/>
        </w:trPr>
        <w:tc>
          <w:tcPr>
            <w:tcW w:w="98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2210201</w:t>
            </w:r>
          </w:p>
        </w:tc>
        <w:tc>
          <w:tcPr>
            <w:tcW w:w="37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167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19.95</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19.95</w:t>
            </w:r>
          </w:p>
        </w:tc>
        <w:tc>
          <w:tcPr>
            <w:tcW w:w="1275"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9087" w:type="dxa"/>
            <w:gridSpan w:val="9"/>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备注：本表反映部门本年度一般公共预算财政拨款支出情况。</w:t>
            </w:r>
          </w:p>
        </w:tc>
      </w:tr>
    </w:tbl>
    <w:p>
      <w:pPr>
        <w:widowControl/>
        <w:rPr>
          <w:rFonts w:ascii="方正黑体_GBK" w:hAnsi="黑体" w:eastAsia="方正黑体_GBK" w:cs="Arial"/>
          <w:color w:val="000000"/>
          <w:kern w:val="0"/>
          <w:szCs w:val="32"/>
        </w:rPr>
        <w:sectPr>
          <w:pgSz w:w="11906" w:h="16838"/>
          <w:pgMar w:top="2098" w:right="1531" w:bottom="1985" w:left="1531" w:header="851" w:footer="1474" w:gutter="0"/>
          <w:cols w:space="720" w:num="1"/>
          <w:docGrid w:linePitch="579" w:charSpace="-849"/>
        </w:sect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附件6</w:t>
      </w:r>
    </w:p>
    <w:tbl>
      <w:tblPr>
        <w:tblStyle w:val="14"/>
        <w:tblW w:w="13482" w:type="dxa"/>
        <w:tblInd w:w="93" w:type="dxa"/>
        <w:tblLayout w:type="autofit"/>
        <w:tblCellMar>
          <w:top w:w="0" w:type="dxa"/>
          <w:left w:w="108" w:type="dxa"/>
          <w:bottom w:w="0" w:type="dxa"/>
          <w:right w:w="108" w:type="dxa"/>
        </w:tblCellMar>
      </w:tblPr>
      <w:tblGrid>
        <w:gridCol w:w="766"/>
        <w:gridCol w:w="3110"/>
        <w:gridCol w:w="876"/>
        <w:gridCol w:w="766"/>
        <w:gridCol w:w="2230"/>
        <w:gridCol w:w="876"/>
        <w:gridCol w:w="766"/>
        <w:gridCol w:w="2958"/>
        <w:gridCol w:w="1134"/>
      </w:tblGrid>
      <w:tr>
        <w:tblPrEx>
          <w:tblCellMar>
            <w:top w:w="0" w:type="dxa"/>
            <w:left w:w="108" w:type="dxa"/>
            <w:bottom w:w="0" w:type="dxa"/>
            <w:right w:w="108" w:type="dxa"/>
          </w:tblCellMar>
        </w:tblPrEx>
        <w:trPr>
          <w:trHeight w:val="555" w:hRule="atLeast"/>
        </w:trPr>
        <w:tc>
          <w:tcPr>
            <w:tcW w:w="13482" w:type="dxa"/>
            <w:gridSpan w:val="9"/>
            <w:tcBorders>
              <w:top w:val="nil"/>
              <w:left w:val="nil"/>
              <w:bottom w:val="nil"/>
              <w:right w:val="nil"/>
            </w:tcBorders>
            <w:shd w:val="clear" w:color="000000" w:fill="FFFFFF"/>
            <w:noWrap/>
            <w:vAlign w:val="center"/>
          </w:tcPr>
          <w:p>
            <w:pPr>
              <w:widowControl/>
              <w:jc w:val="center"/>
              <w:rPr>
                <w:rFonts w:ascii="黑体" w:hAnsi="黑体" w:eastAsia="黑体" w:cs="Arial"/>
                <w:kern w:val="0"/>
                <w:sz w:val="44"/>
                <w:szCs w:val="44"/>
              </w:rPr>
            </w:pPr>
            <w:r>
              <w:rPr>
                <w:rFonts w:hint="eastAsia" w:ascii="黑体" w:hAnsi="黑体" w:eastAsia="黑体" w:cs="Arial"/>
                <w:kern w:val="0"/>
                <w:sz w:val="44"/>
                <w:szCs w:val="44"/>
              </w:rPr>
              <w:t>一般公共预算财政拨款基本支出决算表</w:t>
            </w:r>
          </w:p>
        </w:tc>
      </w:tr>
      <w:tr>
        <w:tblPrEx>
          <w:tblCellMar>
            <w:top w:w="0" w:type="dxa"/>
            <w:left w:w="108" w:type="dxa"/>
            <w:bottom w:w="0" w:type="dxa"/>
            <w:right w:w="108" w:type="dxa"/>
          </w:tblCellMar>
        </w:tblPrEx>
        <w:trPr>
          <w:trHeight w:val="300" w:hRule="atLeast"/>
        </w:trPr>
        <w:tc>
          <w:tcPr>
            <w:tcW w:w="76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1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7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6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3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7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6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092" w:type="dxa"/>
            <w:gridSpan w:val="2"/>
            <w:tcBorders>
              <w:top w:val="nil"/>
              <w:left w:val="nil"/>
              <w:bottom w:val="nil"/>
              <w:right w:val="nil"/>
            </w:tcBorders>
            <w:shd w:val="clear" w:color="000000"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公开06表</w:t>
            </w:r>
          </w:p>
        </w:tc>
      </w:tr>
      <w:tr>
        <w:tblPrEx>
          <w:tblCellMar>
            <w:top w:w="0" w:type="dxa"/>
            <w:left w:w="108" w:type="dxa"/>
            <w:bottom w:w="0" w:type="dxa"/>
            <w:right w:w="108" w:type="dxa"/>
          </w:tblCellMar>
        </w:tblPrEx>
        <w:trPr>
          <w:trHeight w:val="300" w:hRule="atLeast"/>
        </w:trPr>
        <w:tc>
          <w:tcPr>
            <w:tcW w:w="5518" w:type="dxa"/>
            <w:gridSpan w:val="4"/>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公开部门：重庆市九龙坡公证处</w:t>
            </w:r>
          </w:p>
        </w:tc>
        <w:tc>
          <w:tcPr>
            <w:tcW w:w="2230" w:type="dxa"/>
            <w:tcBorders>
              <w:top w:val="nil"/>
              <w:left w:val="nil"/>
              <w:bottom w:val="single" w:color="000000" w:sz="4" w:space="0"/>
              <w:right w:val="nil"/>
            </w:tcBorders>
            <w:shd w:val="clear" w:color="000000" w:fill="FFFFFF"/>
            <w:noWrap/>
            <w:vAlign w:val="center"/>
          </w:tcPr>
          <w:p>
            <w:pPr>
              <w:widowControl/>
              <w:jc w:val="center"/>
              <w:rPr>
                <w:rFonts w:ascii="宋体" w:hAnsi="宋体" w:eastAsia="宋体" w:cs="Arial"/>
                <w:kern w:val="0"/>
                <w:sz w:val="22"/>
                <w:szCs w:val="22"/>
              </w:rPr>
            </w:pPr>
            <w:r>
              <w:rPr>
                <w:rFonts w:hint="eastAsia" w:ascii="宋体" w:hAnsi="宋体" w:eastAsia="宋体" w:cs="Arial"/>
                <w:kern w:val="0"/>
                <w:sz w:val="22"/>
                <w:szCs w:val="22"/>
              </w:rPr>
              <w:t>　</w:t>
            </w:r>
          </w:p>
        </w:tc>
        <w:tc>
          <w:tcPr>
            <w:tcW w:w="876" w:type="dxa"/>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66" w:type="dxa"/>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092" w:type="dxa"/>
            <w:gridSpan w:val="2"/>
            <w:tcBorders>
              <w:top w:val="nil"/>
              <w:left w:val="nil"/>
              <w:bottom w:val="single" w:color="000000" w:sz="4" w:space="0"/>
              <w:right w:val="nil"/>
            </w:tcBorders>
            <w:shd w:val="clear" w:color="000000"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单位：万元</w:t>
            </w:r>
          </w:p>
        </w:tc>
      </w:tr>
      <w:tr>
        <w:tblPrEx>
          <w:tblCellMar>
            <w:top w:w="0" w:type="dxa"/>
            <w:left w:w="108" w:type="dxa"/>
            <w:bottom w:w="0" w:type="dxa"/>
            <w:right w:w="108" w:type="dxa"/>
          </w:tblCellMar>
        </w:tblPrEx>
        <w:trPr>
          <w:trHeight w:val="300" w:hRule="atLeast"/>
        </w:trPr>
        <w:tc>
          <w:tcPr>
            <w:tcW w:w="4752"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人员经费</w:t>
            </w:r>
          </w:p>
        </w:tc>
        <w:tc>
          <w:tcPr>
            <w:tcW w:w="8730" w:type="dxa"/>
            <w:gridSpan w:val="6"/>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公用经费</w:t>
            </w:r>
          </w:p>
        </w:tc>
      </w:tr>
      <w:tr>
        <w:tblPrEx>
          <w:tblCellMar>
            <w:top w:w="0" w:type="dxa"/>
            <w:left w:w="108" w:type="dxa"/>
            <w:bottom w:w="0" w:type="dxa"/>
            <w:right w:w="108" w:type="dxa"/>
          </w:tblCellMar>
        </w:tblPrEx>
        <w:trPr>
          <w:trHeight w:val="300" w:hRule="atLeast"/>
        </w:trPr>
        <w:tc>
          <w:tcPr>
            <w:tcW w:w="766"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经济分类科目编码</w:t>
            </w:r>
          </w:p>
        </w:tc>
        <w:tc>
          <w:tcPr>
            <w:tcW w:w="311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经济分类科目（按“款”级功能分类科目）</w:t>
            </w:r>
          </w:p>
        </w:tc>
        <w:tc>
          <w:tcPr>
            <w:tcW w:w="87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金额</w:t>
            </w:r>
          </w:p>
        </w:tc>
        <w:tc>
          <w:tcPr>
            <w:tcW w:w="76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经济分类科目编码</w:t>
            </w:r>
          </w:p>
        </w:tc>
        <w:tc>
          <w:tcPr>
            <w:tcW w:w="223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经济分类科目（按“款”级功能分类科目）</w:t>
            </w:r>
          </w:p>
        </w:tc>
        <w:tc>
          <w:tcPr>
            <w:tcW w:w="87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金额</w:t>
            </w:r>
          </w:p>
        </w:tc>
        <w:tc>
          <w:tcPr>
            <w:tcW w:w="76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经济分类科目编码</w:t>
            </w:r>
          </w:p>
        </w:tc>
        <w:tc>
          <w:tcPr>
            <w:tcW w:w="2958"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经济分类科目（按“款”级功能分类科目）</w:t>
            </w:r>
          </w:p>
        </w:tc>
        <w:tc>
          <w:tcPr>
            <w:tcW w:w="1134"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金额</w:t>
            </w:r>
          </w:p>
        </w:tc>
      </w:tr>
      <w:tr>
        <w:tblPrEx>
          <w:tblCellMar>
            <w:top w:w="0" w:type="dxa"/>
            <w:left w:w="108" w:type="dxa"/>
            <w:bottom w:w="0" w:type="dxa"/>
            <w:right w:w="108" w:type="dxa"/>
          </w:tblCellMar>
        </w:tblPrEx>
        <w:trPr>
          <w:trHeight w:val="600" w:hRule="atLeast"/>
        </w:trPr>
        <w:tc>
          <w:tcPr>
            <w:tcW w:w="766"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311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87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76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223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87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76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2958"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c>
          <w:tcPr>
            <w:tcW w:w="113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工资福利支出</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187.35</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商品和服务支出</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103.87</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资本性支出</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30101</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基本工资</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29.94</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30201</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办公费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1.50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31001</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房屋建筑物购建</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30102</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津贴补贴</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0.93</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30202</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印刷费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31002</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办公设备购置</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30103</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奖金</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30203</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咨询费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31003</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专用设备购置</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30106</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伙食补助费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30204</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手续费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31005</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基础设施建设</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30107</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绩效工资</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121.25</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30205</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水费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1.97</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31006</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大型修缮</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30108</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8.71</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30206</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电费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0.42</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31007</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信息网络及软件购置更新</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30109</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职业年金缴费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30207</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邮电费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31008</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物资储备</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30110</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职工基本医疗保险缴费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5.59</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30208</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取暖费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31009</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土地补偿</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30111</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公务员医疗补助缴费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30209</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物业管理费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4.32</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31010</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安置补助</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30112</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其他社会保障缴费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0.98</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30211</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差旅费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31011</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地上附着物和青苗补偿</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30113</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19.95</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30212</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因公出国（境）费用</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31012</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拆迁补偿</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30114</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医疗费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30213</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维修（护）费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31013</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公务用车购置</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30199</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其他工资福利支出</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30214</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租赁费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12.52</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31019</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其他交通工具购置</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对个人和家庭的补助</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3.01</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30215</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会议费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31021</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文物和陈列品购置</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30301</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离休费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30216</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培训费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0.46</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31022</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无形资产购置</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30302</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退休费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30217</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公务接待费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31099</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其他资本性支出</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30303</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退职（役）费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30218</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专用材料费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对企业补助</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30304</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抚恤金</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30224</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被装购置费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31201</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资本金注入</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30305</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生活补助</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2.81</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30225</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专用燃料费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31203</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政府投资基金股权投资</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30306</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救济费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30226</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劳务费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70.00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31204</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费用补贴</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30307</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医疗费补助</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0.20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30227</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委托业务费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31205</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利息补贴</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30308</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助学金</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30228</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工会经费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1.09</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31299</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其他对企业补助</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30309</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奖励金</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30229</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福利费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5.88</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其他支出</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30310</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个人农业生产补贴</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30231</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公务用车运行维护费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5.71</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39907</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国家赔偿费用支出</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30311</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代缴社会保险费</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30239</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其他交通费用</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39908</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对民间非营利组织和群众性自治组织补贴</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30399</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其他个人和家庭的补助支出</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30240</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税金及附加费用</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39909</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经常性赠与</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30299</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其他商品和服务支出</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39910</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资本性赠与</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307</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债务利息及费用支出</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39999</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其他支出</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30701</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国内债务付息</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30702</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国外债务付息</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30703</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国内债务发行费用</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1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30704</w:t>
            </w:r>
          </w:p>
        </w:tc>
        <w:tc>
          <w:tcPr>
            <w:tcW w:w="2230"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国外债务发行费用</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6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958"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3876"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人员经费合计</w:t>
            </w:r>
          </w:p>
        </w:tc>
        <w:tc>
          <w:tcPr>
            <w:tcW w:w="876"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190.36</w:t>
            </w:r>
          </w:p>
        </w:tc>
        <w:tc>
          <w:tcPr>
            <w:tcW w:w="7596" w:type="dxa"/>
            <w:gridSpan w:val="5"/>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公用经费合计</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103.87</w:t>
            </w:r>
          </w:p>
        </w:tc>
      </w:tr>
      <w:tr>
        <w:tblPrEx>
          <w:tblCellMar>
            <w:top w:w="0" w:type="dxa"/>
            <w:left w:w="108" w:type="dxa"/>
            <w:bottom w:w="0" w:type="dxa"/>
            <w:right w:w="108" w:type="dxa"/>
          </w:tblCellMar>
        </w:tblPrEx>
        <w:trPr>
          <w:trHeight w:val="300" w:hRule="atLeast"/>
        </w:trPr>
        <w:tc>
          <w:tcPr>
            <w:tcW w:w="13482" w:type="dxa"/>
            <w:gridSpan w:val="9"/>
            <w:tcBorders>
              <w:top w:val="nil"/>
              <w:left w:val="nil"/>
              <w:bottom w:val="nil"/>
              <w:right w:val="nil"/>
            </w:tcBorders>
            <w:shd w:val="clear" w:color="000000" w:fill="FFFFFF"/>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注：本表反映部门本年度一般公共预算财政拨款基本支出明细情况。</w:t>
            </w:r>
          </w:p>
        </w:tc>
      </w:tr>
    </w:tbl>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附件7</w:t>
      </w:r>
    </w:p>
    <w:p>
      <w:pPr>
        <w:widowControl/>
        <w:rPr>
          <w:rFonts w:ascii="方正黑体_GBK" w:hAnsi="黑体" w:eastAsia="方正黑体_GBK" w:cs="Arial"/>
          <w:color w:val="000000"/>
          <w:kern w:val="0"/>
          <w:szCs w:val="32"/>
        </w:rPr>
      </w:pPr>
    </w:p>
    <w:tbl>
      <w:tblPr>
        <w:tblStyle w:val="14"/>
        <w:tblW w:w="13097" w:type="dxa"/>
        <w:tblInd w:w="93" w:type="dxa"/>
        <w:tblLayout w:type="autofit"/>
        <w:tblCellMar>
          <w:top w:w="0" w:type="dxa"/>
          <w:left w:w="108" w:type="dxa"/>
          <w:bottom w:w="0" w:type="dxa"/>
          <w:right w:w="108" w:type="dxa"/>
        </w:tblCellMar>
      </w:tblPr>
      <w:tblGrid>
        <w:gridCol w:w="222"/>
        <w:gridCol w:w="222"/>
        <w:gridCol w:w="222"/>
        <w:gridCol w:w="2180"/>
        <w:gridCol w:w="1762"/>
        <w:gridCol w:w="1726"/>
        <w:gridCol w:w="1781"/>
        <w:gridCol w:w="1925"/>
        <w:gridCol w:w="1546"/>
        <w:gridCol w:w="1925"/>
      </w:tblGrid>
      <w:tr>
        <w:tblPrEx>
          <w:tblCellMar>
            <w:top w:w="0" w:type="dxa"/>
            <w:left w:w="108" w:type="dxa"/>
            <w:bottom w:w="0" w:type="dxa"/>
            <w:right w:w="108" w:type="dxa"/>
          </w:tblCellMar>
        </w:tblPrEx>
        <w:trPr>
          <w:trHeight w:val="555" w:hRule="atLeast"/>
        </w:trPr>
        <w:tc>
          <w:tcPr>
            <w:tcW w:w="13097" w:type="dxa"/>
            <w:gridSpan w:val="10"/>
            <w:tcBorders>
              <w:top w:val="nil"/>
              <w:left w:val="nil"/>
              <w:bottom w:val="nil"/>
              <w:right w:val="nil"/>
            </w:tcBorders>
            <w:shd w:val="clear" w:color="000000" w:fill="FFFFFF"/>
            <w:noWrap/>
            <w:vAlign w:val="center"/>
          </w:tcPr>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政府性基金预算财政拨款收入支出决算表</w:t>
            </w:r>
          </w:p>
        </w:tc>
      </w:tr>
      <w:tr>
        <w:tblPrEx>
          <w:tblCellMar>
            <w:top w:w="0" w:type="dxa"/>
            <w:left w:w="108" w:type="dxa"/>
            <w:bottom w:w="0" w:type="dxa"/>
            <w:right w:w="108" w:type="dxa"/>
          </w:tblCellMar>
        </w:tblPrEx>
        <w:trPr>
          <w:trHeight w:val="300" w:hRule="atLeast"/>
        </w:trPr>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8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6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2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8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8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6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2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8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8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6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2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8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80"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6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26"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781"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471" w:type="dxa"/>
            <w:gridSpan w:val="2"/>
            <w:tcBorders>
              <w:top w:val="nil"/>
              <w:left w:val="nil"/>
              <w:bottom w:val="nil"/>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公开07表</w:t>
            </w:r>
          </w:p>
        </w:tc>
      </w:tr>
      <w:tr>
        <w:tblPrEx>
          <w:tblCellMar>
            <w:top w:w="0" w:type="dxa"/>
            <w:left w:w="108" w:type="dxa"/>
            <w:bottom w:w="0" w:type="dxa"/>
            <w:right w:w="108" w:type="dxa"/>
          </w:tblCellMar>
        </w:tblPrEx>
        <w:trPr>
          <w:trHeight w:val="300" w:hRule="atLeast"/>
        </w:trPr>
        <w:tc>
          <w:tcPr>
            <w:tcW w:w="5920" w:type="dxa"/>
            <w:gridSpan w:val="6"/>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公开部门：重庆市九龙坡公证处</w:t>
            </w:r>
          </w:p>
        </w:tc>
        <w:tc>
          <w:tcPr>
            <w:tcW w:w="1781" w:type="dxa"/>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25" w:type="dxa"/>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471" w:type="dxa"/>
            <w:gridSpan w:val="2"/>
            <w:tcBorders>
              <w:top w:val="nil"/>
              <w:left w:val="nil"/>
              <w:bottom w:val="single" w:color="000000" w:sz="4" w:space="0"/>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2432"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1762"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年初结转和结余</w:t>
            </w:r>
          </w:p>
        </w:tc>
        <w:tc>
          <w:tcPr>
            <w:tcW w:w="1726"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本年收入</w:t>
            </w:r>
          </w:p>
        </w:tc>
        <w:tc>
          <w:tcPr>
            <w:tcW w:w="5252" w:type="dxa"/>
            <w:gridSpan w:val="3"/>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w:t>
            </w:r>
          </w:p>
        </w:tc>
        <w:tc>
          <w:tcPr>
            <w:tcW w:w="1925"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年末结转和结余</w:t>
            </w:r>
          </w:p>
        </w:tc>
      </w:tr>
      <w:tr>
        <w:tblPrEx>
          <w:tblCellMar>
            <w:top w:w="0" w:type="dxa"/>
            <w:left w:w="108" w:type="dxa"/>
            <w:bottom w:w="0" w:type="dxa"/>
            <w:right w:w="108" w:type="dxa"/>
          </w:tblCellMar>
        </w:tblPrEx>
        <w:trPr>
          <w:trHeight w:val="300" w:hRule="atLeast"/>
        </w:trPr>
        <w:tc>
          <w:tcPr>
            <w:tcW w:w="252"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2180"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1762"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2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81"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925"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1546"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c>
          <w:tcPr>
            <w:tcW w:w="192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25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218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62"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2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81"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92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54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92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600" w:hRule="atLeast"/>
        </w:trPr>
        <w:tc>
          <w:tcPr>
            <w:tcW w:w="252"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2180"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62"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2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781"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92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546"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1925"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2432"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762"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2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8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92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4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92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25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180"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762"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2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781"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92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46"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925"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13097" w:type="dxa"/>
            <w:gridSpan w:val="10"/>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备注：本表反映部门本年度政府性基金预算财政拨款收入支出及结转和结余情况。</w:t>
            </w:r>
          </w:p>
        </w:tc>
      </w:tr>
      <w:tr>
        <w:tblPrEx>
          <w:tblCellMar>
            <w:top w:w="0" w:type="dxa"/>
            <w:left w:w="108" w:type="dxa"/>
            <w:bottom w:w="0" w:type="dxa"/>
            <w:right w:w="108" w:type="dxa"/>
          </w:tblCellMar>
        </w:tblPrEx>
        <w:trPr>
          <w:trHeight w:val="300" w:hRule="atLeast"/>
        </w:trPr>
        <w:tc>
          <w:tcPr>
            <w:tcW w:w="13097" w:type="dxa"/>
            <w:gridSpan w:val="10"/>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本表为空的部门应将空表公开，并注明：本单位无政府性基金收入，也没有使用政府性基金安排的支出，故本表无数据。</w:t>
            </w:r>
          </w:p>
        </w:tc>
      </w:tr>
    </w:tbl>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附件8</w:t>
      </w:r>
    </w:p>
    <w:p>
      <w:pPr>
        <w:widowControl/>
        <w:rPr>
          <w:rFonts w:ascii="方正黑体_GBK" w:hAnsi="黑体" w:eastAsia="方正黑体_GBK" w:cs="Arial"/>
          <w:color w:val="000000"/>
          <w:kern w:val="0"/>
          <w:szCs w:val="32"/>
        </w:rPr>
      </w:pPr>
    </w:p>
    <w:tbl>
      <w:tblPr>
        <w:tblStyle w:val="14"/>
        <w:tblW w:w="13482" w:type="dxa"/>
        <w:tblInd w:w="93" w:type="dxa"/>
        <w:tblLayout w:type="autofit"/>
        <w:tblCellMar>
          <w:top w:w="0" w:type="dxa"/>
          <w:left w:w="108" w:type="dxa"/>
          <w:bottom w:w="0" w:type="dxa"/>
          <w:right w:w="108" w:type="dxa"/>
        </w:tblCellMar>
      </w:tblPr>
      <w:tblGrid>
        <w:gridCol w:w="222"/>
        <w:gridCol w:w="222"/>
        <w:gridCol w:w="222"/>
        <w:gridCol w:w="3338"/>
        <w:gridCol w:w="2164"/>
        <w:gridCol w:w="1077"/>
        <w:gridCol w:w="1087"/>
        <w:gridCol w:w="2173"/>
        <w:gridCol w:w="2977"/>
      </w:tblGrid>
      <w:tr>
        <w:tblPrEx>
          <w:tblCellMar>
            <w:top w:w="0" w:type="dxa"/>
            <w:left w:w="108" w:type="dxa"/>
            <w:bottom w:w="0" w:type="dxa"/>
            <w:right w:w="108" w:type="dxa"/>
          </w:tblCellMar>
        </w:tblPrEx>
        <w:trPr>
          <w:trHeight w:val="572" w:hRule="atLeast"/>
        </w:trPr>
        <w:tc>
          <w:tcPr>
            <w:tcW w:w="13482" w:type="dxa"/>
            <w:gridSpan w:val="9"/>
            <w:vMerge w:val="restart"/>
            <w:tcBorders>
              <w:top w:val="nil"/>
              <w:left w:val="nil"/>
              <w:bottom w:val="nil"/>
              <w:right w:val="nil"/>
            </w:tcBorders>
            <w:shd w:val="clear" w:color="000000" w:fill="FFFFFF"/>
            <w:noWrap/>
            <w:vAlign w:val="center"/>
          </w:tcPr>
          <w:p>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国有资本经营预算财政拨款支出决算表</w:t>
            </w:r>
          </w:p>
        </w:tc>
      </w:tr>
      <w:tr>
        <w:tblPrEx>
          <w:tblCellMar>
            <w:top w:w="0" w:type="dxa"/>
            <w:left w:w="108" w:type="dxa"/>
            <w:bottom w:w="0" w:type="dxa"/>
            <w:right w:w="108" w:type="dxa"/>
          </w:tblCellMar>
        </w:tblPrEx>
        <w:trPr>
          <w:trHeight w:val="572" w:hRule="atLeast"/>
        </w:trPr>
        <w:tc>
          <w:tcPr>
            <w:tcW w:w="13482" w:type="dxa"/>
            <w:gridSpan w:val="9"/>
            <w:vMerge w:val="continue"/>
            <w:tcBorders>
              <w:top w:val="nil"/>
              <w:left w:val="nil"/>
              <w:bottom w:val="nil"/>
              <w:right w:val="nil"/>
            </w:tcBorders>
            <w:vAlign w:val="center"/>
          </w:tcPr>
          <w:p>
            <w:pPr>
              <w:widowControl/>
              <w:jc w:val="left"/>
              <w:rPr>
                <w:rFonts w:ascii="黑体" w:hAnsi="黑体" w:eastAsia="黑体" w:cs="Arial"/>
                <w:color w:val="000000"/>
                <w:kern w:val="0"/>
                <w:sz w:val="44"/>
                <w:szCs w:val="44"/>
              </w:rPr>
            </w:pPr>
          </w:p>
        </w:tc>
      </w:tr>
      <w:tr>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338"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150"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338"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150" w:type="dxa"/>
            <w:gridSpan w:val="2"/>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338"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tcBorders>
              <w:top w:val="nil"/>
              <w:left w:val="nil"/>
              <w:bottom w:val="nil"/>
              <w:right w:val="nil"/>
            </w:tcBorders>
            <w:shd w:val="clear" w:color="000000" w:fill="FFFFFF"/>
            <w:noWrap/>
            <w:vAlign w:val="center"/>
          </w:tcPr>
          <w:p>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314" w:type="dxa"/>
            <w:gridSpan w:val="4"/>
            <w:tcBorders>
              <w:top w:val="nil"/>
              <w:left w:val="nil"/>
              <w:bottom w:val="nil"/>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公开08表</w:t>
            </w:r>
          </w:p>
        </w:tc>
      </w:tr>
      <w:tr>
        <w:tblPrEx>
          <w:tblCellMar>
            <w:top w:w="0" w:type="dxa"/>
            <w:left w:w="108" w:type="dxa"/>
            <w:bottom w:w="0" w:type="dxa"/>
            <w:right w:w="108" w:type="dxa"/>
          </w:tblCellMar>
        </w:tblPrEx>
        <w:trPr>
          <w:trHeight w:val="300" w:hRule="atLeast"/>
        </w:trPr>
        <w:tc>
          <w:tcPr>
            <w:tcW w:w="6168" w:type="dxa"/>
            <w:gridSpan w:val="5"/>
            <w:tcBorders>
              <w:top w:val="nil"/>
              <w:left w:val="nil"/>
              <w:bottom w:val="single" w:color="000000" w:sz="4" w:space="0"/>
              <w:right w:val="nil"/>
            </w:tcBorders>
            <w:shd w:val="clear" w:color="000000" w:fill="FFFFFF"/>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公开部门：重庆市九龙坡公证处</w:t>
            </w:r>
          </w:p>
        </w:tc>
        <w:tc>
          <w:tcPr>
            <w:tcW w:w="7314" w:type="dxa"/>
            <w:gridSpan w:val="4"/>
            <w:tcBorders>
              <w:top w:val="nil"/>
              <w:left w:val="nil"/>
              <w:bottom w:val="single" w:color="000000" w:sz="4" w:space="0"/>
              <w:right w:val="nil"/>
            </w:tcBorders>
            <w:shd w:val="clear" w:color="000000" w:fill="FFFFFF"/>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tblPrEx>
          <w:tblCellMar>
            <w:top w:w="0" w:type="dxa"/>
            <w:left w:w="108" w:type="dxa"/>
            <w:bottom w:w="0" w:type="dxa"/>
            <w:right w:w="108" w:type="dxa"/>
          </w:tblCellMar>
        </w:tblPrEx>
        <w:trPr>
          <w:trHeight w:val="300" w:hRule="atLeast"/>
        </w:trPr>
        <w:tc>
          <w:tcPr>
            <w:tcW w:w="400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9478" w:type="dxa"/>
            <w:gridSpan w:val="5"/>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w:t>
            </w:r>
          </w:p>
        </w:tc>
      </w:tr>
      <w:tr>
        <w:tblPrEx>
          <w:tblCellMar>
            <w:top w:w="0" w:type="dxa"/>
            <w:left w:w="108" w:type="dxa"/>
            <w:bottom w:w="0" w:type="dxa"/>
            <w:right w:w="108" w:type="dxa"/>
          </w:tblCellMar>
        </w:tblPrEx>
        <w:trPr>
          <w:trHeight w:val="300" w:hRule="atLeast"/>
        </w:trPr>
        <w:tc>
          <w:tcPr>
            <w:tcW w:w="666"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338"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科目名称</w:t>
            </w:r>
          </w:p>
        </w:tc>
        <w:tc>
          <w:tcPr>
            <w:tcW w:w="3241" w:type="dxa"/>
            <w:gridSpan w:val="2"/>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3260" w:type="dxa"/>
            <w:gridSpan w:val="2"/>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2977"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r>
      <w:tr>
        <w:tblPrEx>
          <w:tblCellMar>
            <w:top w:w="0" w:type="dxa"/>
            <w:left w:w="108" w:type="dxa"/>
            <w:bottom w:w="0" w:type="dxa"/>
            <w:right w:w="108" w:type="dxa"/>
          </w:tblCellMar>
        </w:tblPrEx>
        <w:trPr>
          <w:trHeight w:val="286" w:hRule="atLeast"/>
        </w:trPr>
        <w:tc>
          <w:tcPr>
            <w:tcW w:w="66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338"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241" w:type="dxa"/>
            <w:gridSpan w:val="2"/>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260" w:type="dxa"/>
            <w:gridSpan w:val="2"/>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297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600" w:hRule="atLeast"/>
        </w:trPr>
        <w:tc>
          <w:tcPr>
            <w:tcW w:w="66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338"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241" w:type="dxa"/>
            <w:gridSpan w:val="2"/>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3260" w:type="dxa"/>
            <w:gridSpan w:val="2"/>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c>
          <w:tcPr>
            <w:tcW w:w="2977" w:type="dxa"/>
            <w:vMerge w:val="continue"/>
            <w:tcBorders>
              <w:top w:val="single" w:color="000000" w:sz="4" w:space="0"/>
              <w:left w:val="nil"/>
              <w:bottom w:val="single" w:color="000000" w:sz="4" w:space="0"/>
              <w:right w:val="single" w:color="000000" w:sz="4" w:space="0"/>
            </w:tcBorders>
            <w:shd w:val="clear" w:color="auto" w:fill="FFFFFF"/>
            <w:vAlign w:val="center"/>
          </w:tcPr>
          <w:p>
            <w:pPr>
              <w:widowControl/>
              <w:jc w:val="left"/>
              <w:rPr>
                <w:rFonts w:ascii="宋体" w:hAnsi="宋体" w:eastAsia="宋体" w:cs="Arial"/>
                <w:b/>
                <w:bCs/>
                <w:kern w:val="0"/>
                <w:sz w:val="22"/>
                <w:szCs w:val="22"/>
              </w:rPr>
            </w:pPr>
          </w:p>
        </w:tc>
      </w:tr>
      <w:tr>
        <w:tblPrEx>
          <w:tblCellMar>
            <w:top w:w="0" w:type="dxa"/>
            <w:left w:w="108" w:type="dxa"/>
            <w:bottom w:w="0" w:type="dxa"/>
            <w:right w:w="108" w:type="dxa"/>
          </w:tblCellMar>
        </w:tblPrEx>
        <w:trPr>
          <w:trHeight w:val="300" w:hRule="atLeast"/>
        </w:trPr>
        <w:tc>
          <w:tcPr>
            <w:tcW w:w="400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3241"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260"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97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66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338" w:type="dxa"/>
            <w:tcBorders>
              <w:top w:val="single" w:color="000000" w:sz="4" w:space="0"/>
              <w:left w:val="nil"/>
              <w:bottom w:val="single" w:color="000000" w:sz="4" w:space="0"/>
              <w:right w:val="single" w:color="000000" w:sz="4" w:space="0"/>
            </w:tcBorders>
            <w:shd w:val="clear" w:color="auto" w:fill="FFFFFF"/>
            <w:noWrap/>
            <w:vAlign w:val="center"/>
          </w:tcPr>
          <w:p>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241"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260" w:type="dxa"/>
            <w:gridSpan w:val="2"/>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977" w:type="dxa"/>
            <w:tcBorders>
              <w:top w:val="single" w:color="000000" w:sz="4" w:space="0"/>
              <w:left w:val="nil"/>
              <w:bottom w:val="single" w:color="000000" w:sz="4" w:space="0"/>
              <w:right w:val="single" w:color="000000" w:sz="4" w:space="0"/>
            </w:tcBorders>
            <w:shd w:val="clear" w:color="auto" w:fill="FFFFFF"/>
            <w:noWrap/>
            <w:vAlign w:val="center"/>
          </w:tcPr>
          <w:p>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13482" w:type="dxa"/>
            <w:gridSpan w:val="9"/>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备注：本表反映部门本年度国有资本经营预算财政拨款支出情况。</w:t>
            </w:r>
          </w:p>
        </w:tc>
      </w:tr>
      <w:tr>
        <w:tblPrEx>
          <w:tblCellMar>
            <w:top w:w="0" w:type="dxa"/>
            <w:left w:w="108" w:type="dxa"/>
            <w:bottom w:w="0" w:type="dxa"/>
            <w:right w:w="108" w:type="dxa"/>
          </w:tblCellMar>
        </w:tblPrEx>
        <w:trPr>
          <w:trHeight w:val="300" w:hRule="atLeast"/>
        </w:trPr>
        <w:tc>
          <w:tcPr>
            <w:tcW w:w="13482" w:type="dxa"/>
            <w:gridSpan w:val="9"/>
            <w:tcBorders>
              <w:top w:val="nil"/>
              <w:left w:val="nil"/>
              <w:bottom w:val="nil"/>
              <w:right w:val="nil"/>
            </w:tcBorders>
            <w:shd w:val="clear" w:color="000000" w:fill="FFFFFF"/>
            <w:noWrap/>
            <w:vAlign w:val="center"/>
          </w:tcPr>
          <w:p>
            <w:pPr>
              <w:widowControl/>
              <w:jc w:val="left"/>
              <w:rPr>
                <w:rFonts w:ascii="宋体" w:hAnsi="宋体" w:eastAsia="宋体" w:cs="Arial"/>
                <w:kern w:val="0"/>
                <w:sz w:val="20"/>
              </w:rPr>
            </w:pPr>
            <w:r>
              <w:rPr>
                <w:rFonts w:hint="eastAsia" w:ascii="宋体" w:hAnsi="宋体" w:eastAsia="宋体" w:cs="Arial"/>
                <w:kern w:val="0"/>
                <w:sz w:val="20"/>
              </w:rPr>
              <w:t>本表为空的部门应将空表公开，并注明：本单位无国有资本经营预算财政拨款支出，故本表无数据。</w:t>
            </w:r>
          </w:p>
        </w:tc>
      </w:tr>
    </w:tbl>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附件9</w:t>
      </w:r>
    </w:p>
    <w:tbl>
      <w:tblPr>
        <w:tblStyle w:val="14"/>
        <w:tblW w:w="12915" w:type="dxa"/>
        <w:tblInd w:w="93" w:type="dxa"/>
        <w:tblLayout w:type="autofit"/>
        <w:tblCellMar>
          <w:top w:w="0" w:type="dxa"/>
          <w:left w:w="108" w:type="dxa"/>
          <w:bottom w:w="0" w:type="dxa"/>
          <w:right w:w="108" w:type="dxa"/>
        </w:tblCellMar>
      </w:tblPr>
      <w:tblGrid>
        <w:gridCol w:w="3701"/>
        <w:gridCol w:w="289"/>
        <w:gridCol w:w="1135"/>
        <w:gridCol w:w="1411"/>
        <w:gridCol w:w="992"/>
        <w:gridCol w:w="4253"/>
        <w:gridCol w:w="1134"/>
      </w:tblGrid>
      <w:tr>
        <w:tblPrEx>
          <w:tblCellMar>
            <w:top w:w="0" w:type="dxa"/>
            <w:left w:w="108" w:type="dxa"/>
            <w:bottom w:w="0" w:type="dxa"/>
            <w:right w:w="108" w:type="dxa"/>
          </w:tblCellMar>
        </w:tblPrEx>
        <w:trPr>
          <w:trHeight w:val="555" w:hRule="atLeast"/>
        </w:trPr>
        <w:tc>
          <w:tcPr>
            <w:tcW w:w="12915" w:type="dxa"/>
            <w:gridSpan w:val="7"/>
            <w:tcBorders>
              <w:top w:val="nil"/>
              <w:left w:val="nil"/>
              <w:bottom w:val="nil"/>
              <w:right w:val="nil"/>
            </w:tcBorders>
            <w:shd w:val="clear" w:color="000000" w:fill="FFFFFF"/>
            <w:noWrap/>
            <w:vAlign w:val="center"/>
          </w:tcPr>
          <w:p>
            <w:pPr>
              <w:widowControl/>
              <w:jc w:val="center"/>
              <w:rPr>
                <w:rFonts w:ascii="黑体" w:hAnsi="黑体" w:eastAsia="黑体" w:cs="Arial"/>
                <w:kern w:val="0"/>
                <w:sz w:val="44"/>
                <w:szCs w:val="44"/>
              </w:rPr>
            </w:pPr>
            <w:r>
              <w:rPr>
                <w:rFonts w:hint="eastAsia" w:ascii="黑体" w:hAnsi="黑体" w:eastAsia="黑体" w:cs="Arial"/>
                <w:kern w:val="0"/>
                <w:sz w:val="44"/>
                <w:szCs w:val="44"/>
              </w:rPr>
              <w:t>机构运行信息表</w:t>
            </w:r>
          </w:p>
        </w:tc>
      </w:tr>
      <w:tr>
        <w:tblPrEx>
          <w:tblCellMar>
            <w:top w:w="0" w:type="dxa"/>
            <w:left w:w="108" w:type="dxa"/>
            <w:bottom w:w="0" w:type="dxa"/>
            <w:right w:w="108" w:type="dxa"/>
          </w:tblCellMar>
        </w:tblPrEx>
        <w:trPr>
          <w:trHeight w:val="300" w:hRule="atLeast"/>
        </w:trPr>
        <w:tc>
          <w:tcPr>
            <w:tcW w:w="3990" w:type="dxa"/>
            <w:gridSpan w:val="2"/>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135"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411"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92" w:type="dxa"/>
            <w:tcBorders>
              <w:top w:val="nil"/>
              <w:left w:val="nil"/>
              <w:bottom w:val="nil"/>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387" w:type="dxa"/>
            <w:gridSpan w:val="2"/>
            <w:tcBorders>
              <w:top w:val="nil"/>
              <w:left w:val="nil"/>
              <w:bottom w:val="nil"/>
              <w:right w:val="nil"/>
            </w:tcBorders>
            <w:shd w:val="clear" w:color="000000"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公开09表</w:t>
            </w:r>
          </w:p>
        </w:tc>
      </w:tr>
      <w:tr>
        <w:tblPrEx>
          <w:tblCellMar>
            <w:top w:w="0" w:type="dxa"/>
            <w:left w:w="108" w:type="dxa"/>
            <w:bottom w:w="0" w:type="dxa"/>
            <w:right w:w="108" w:type="dxa"/>
          </w:tblCellMar>
        </w:tblPrEx>
        <w:trPr>
          <w:trHeight w:val="300" w:hRule="atLeast"/>
        </w:trPr>
        <w:tc>
          <w:tcPr>
            <w:tcW w:w="5125" w:type="dxa"/>
            <w:gridSpan w:val="3"/>
            <w:tcBorders>
              <w:top w:val="nil"/>
              <w:left w:val="nil"/>
              <w:bottom w:val="single" w:color="000000" w:sz="4" w:space="0"/>
              <w:right w:val="nil"/>
            </w:tcBorders>
            <w:shd w:val="clear" w:color="000000" w:fill="FFFFFF"/>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公开部门：重庆市九龙坡公证处</w:t>
            </w:r>
          </w:p>
        </w:tc>
        <w:tc>
          <w:tcPr>
            <w:tcW w:w="1411" w:type="dxa"/>
            <w:tcBorders>
              <w:top w:val="nil"/>
              <w:left w:val="nil"/>
              <w:bottom w:val="single" w:color="000000" w:sz="4" w:space="0"/>
              <w:right w:val="nil"/>
            </w:tcBorders>
            <w:shd w:val="clear" w:color="000000" w:fill="FFFFFF"/>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　</w:t>
            </w:r>
          </w:p>
        </w:tc>
        <w:tc>
          <w:tcPr>
            <w:tcW w:w="992" w:type="dxa"/>
            <w:tcBorders>
              <w:top w:val="nil"/>
              <w:left w:val="nil"/>
              <w:bottom w:val="single" w:color="000000" w:sz="4" w:space="0"/>
              <w:right w:val="nil"/>
            </w:tcBorders>
            <w:shd w:val="clear" w:color="000000" w:fill="FFFFFF"/>
            <w:noWrap/>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387" w:type="dxa"/>
            <w:gridSpan w:val="2"/>
            <w:tcBorders>
              <w:top w:val="nil"/>
              <w:left w:val="nil"/>
              <w:bottom w:val="single" w:color="000000" w:sz="4" w:space="0"/>
              <w:right w:val="nil"/>
            </w:tcBorders>
            <w:shd w:val="clear" w:color="000000" w:fill="FFFFFF"/>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单位：万元</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项  目</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年初预算数</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全年预算数</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项  目</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一、“三公”经费支出</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四、机关运行经费</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（一）支出合计</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5.71</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5.71</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5.71</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（一）行政单位</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1．因公出国（境）费</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（二）参照公务员法管理事业单位</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2．公务用车购置及运行维护费</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5.71</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5.71</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5.71</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五、资产信息</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（1）公务用车购置费</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（一）车辆数合计（辆）</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（2）公务用车运行维护费</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5.71</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5.71</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5.71</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1．副部（省）级及以上领导用车</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3．公务接待费</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2．主要领导干部用车</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（1）国内接待费</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3．机要通信用车</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其中：外事接待费</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4．应急保障用车</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（2）国（境）外接待费</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5．执法执勤用车</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（二）相关统计数</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6．特种专业技术用车</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1．因公出国（境）团组数（个）</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7．离退休干部用车</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2．因公出国（境）人次数（人）</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8．其他用车</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3．公务用车购置数（辆）</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（二）单价100万元（含）以上设备（不含车辆）</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4．公务用车保有量（辆）</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1</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六、政府采购支出信息</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5．国内公务接待批次（个）</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（一）政府采购支出合计</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其中：外事接待批次（个）</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1．政府采购货物支出</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6．国内公务接待人次（人）</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2．政府采购工程支出</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其中：外事接待人次（人）</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3．政府采购服务支出</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7．国（境）外公务接待批次（个）</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（二）政府采购授予中小企业合同金额</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8．国（境）外公务接待人次（人）</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其中：授予小微企业合同金额</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二、会议费</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300" w:hRule="atLeast"/>
        </w:trPr>
        <w:tc>
          <w:tcPr>
            <w:tcW w:w="370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三、培训费</w:t>
            </w:r>
          </w:p>
        </w:tc>
        <w:tc>
          <w:tcPr>
            <w:tcW w:w="142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411"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0.46</w:t>
            </w:r>
          </w:p>
        </w:tc>
        <w:tc>
          <w:tcPr>
            <w:tcW w:w="4253"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134" w:type="dxa"/>
            <w:tcBorders>
              <w:top w:val="single" w:color="000000" w:sz="4" w:space="0"/>
              <w:left w:val="nil"/>
              <w:bottom w:val="single" w:color="000000" w:sz="4" w:space="0"/>
              <w:right w:val="single" w:color="000000" w:sz="4" w:space="0"/>
            </w:tcBorders>
            <w:shd w:val="clear" w:color="auto" w:fill="FFFFFF" w:themeFill="background1"/>
            <w:noWrap/>
            <w:vAlign w:val="center"/>
          </w:tcPr>
          <w:p>
            <w:pPr>
              <w:widowControl/>
              <w:spacing w:line="24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r>
      <w:tr>
        <w:tblPrEx>
          <w:tblCellMar>
            <w:top w:w="0" w:type="dxa"/>
            <w:left w:w="108" w:type="dxa"/>
            <w:bottom w:w="0" w:type="dxa"/>
            <w:right w:w="108" w:type="dxa"/>
          </w:tblCellMar>
        </w:tblPrEx>
        <w:trPr>
          <w:trHeight w:val="495" w:hRule="atLeast"/>
        </w:trPr>
        <w:tc>
          <w:tcPr>
            <w:tcW w:w="12915" w:type="dxa"/>
            <w:gridSpan w:val="7"/>
            <w:tcBorders>
              <w:top w:val="nil"/>
              <w:left w:val="nil"/>
              <w:bottom w:val="nil"/>
              <w:right w:val="nil"/>
            </w:tcBorders>
            <w:shd w:val="clear" w:color="000000" w:fill="FFFFFF"/>
            <w:vAlign w:val="center"/>
          </w:tcPr>
          <w:p>
            <w:pPr>
              <w:widowControl/>
              <w:spacing w:line="240" w:lineRule="exact"/>
              <w:jc w:val="left"/>
              <w:rPr>
                <w:rFonts w:ascii="宋体" w:hAnsi="宋体" w:eastAsia="宋体" w:cs="Arial"/>
                <w:kern w:val="0"/>
                <w:sz w:val="18"/>
                <w:szCs w:val="18"/>
              </w:rPr>
            </w:pPr>
            <w:r>
              <w:rPr>
                <w:rFonts w:hint="eastAsia" w:ascii="宋体" w:hAnsi="宋体" w:eastAsia="宋体" w:cs="Arial"/>
                <w:kern w:val="0"/>
                <w:sz w:val="18"/>
                <w:szCs w:val="18"/>
              </w:rPr>
              <w:t>备注：本表反应部门本年度“三公”经费支出预决算情况。其中：年初预算数为“三公”经费年初部门预算批复数，全年预算数为“三公”经费全年预算数，反应按照规定程序调整后的预算数；决算数是包括当年一般公共预算财政拨款、政府性基金预算财政拨款和以前年度结转资金安排的实际支出。</w:t>
            </w:r>
          </w:p>
        </w:tc>
      </w:tr>
    </w:tbl>
    <w:p>
      <w:pPr>
        <w:widowControl/>
        <w:spacing w:line="240" w:lineRule="exact"/>
        <w:rPr>
          <w:rFonts w:ascii="方正黑体_GBK" w:hAnsi="黑体" w:eastAsia="方正黑体_GBK" w:cs="Arial"/>
          <w:color w:val="000000"/>
          <w:kern w:val="0"/>
          <w:szCs w:val="32"/>
        </w:rPr>
      </w:pPr>
    </w:p>
    <w:p>
      <w:pPr>
        <w:widowControl/>
        <w:rPr>
          <w:rFonts w:ascii="方正黑体_GBK" w:hAnsi="黑体" w:eastAsia="方正黑体_GBK" w:cs="Arial"/>
          <w:color w:val="000000"/>
          <w:kern w:val="0"/>
          <w:szCs w:val="32"/>
        </w:rPr>
        <w:sectPr>
          <w:pgSz w:w="16838" w:h="11906" w:orient="landscape"/>
          <w:pgMar w:top="1531" w:right="1985" w:bottom="1531" w:left="2098" w:header="851" w:footer="1474" w:gutter="0"/>
          <w:cols w:space="720" w:num="1"/>
          <w:docGrid w:linePitch="579" w:charSpace="-849"/>
        </w:sectPr>
      </w:pPr>
    </w:p>
    <w:p>
      <w:pPr>
        <w:widowControl/>
      </w:pPr>
    </w:p>
    <w:sectPr>
      <w:pgSz w:w="16838" w:h="11906" w:orient="landscape"/>
      <w:pgMar w:top="1800" w:right="1440" w:bottom="1800" w:left="1440"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ind w:right="320" w:rightChars="100"/>
      <w:rPr>
        <w:rStyle w:val="18"/>
        <w:rFonts w:ascii="宋体" w:hAnsi="宋体" w:eastAsia="宋体"/>
        <w:sz w:val="28"/>
        <w:szCs w:val="28"/>
      </w:rPr>
    </w:pPr>
    <w:r>
      <w:rPr>
        <w:rStyle w:val="18"/>
        <w:rFonts w:hint="eastAsia" w:ascii="宋体" w:hAnsi="宋体" w:eastAsia="宋体"/>
        <w:sz w:val="28"/>
        <w:szCs w:val="28"/>
      </w:rPr>
      <w:t xml:space="preserve">— </w:t>
    </w:r>
    <w:r>
      <w:rPr>
        <w:rFonts w:ascii="宋体" w:hAnsi="宋体" w:eastAsia="宋体"/>
        <w:sz w:val="28"/>
        <w:szCs w:val="28"/>
      </w:rPr>
      <w:fldChar w:fldCharType="begin"/>
    </w:r>
    <w:r>
      <w:rPr>
        <w:rStyle w:val="18"/>
        <w:rFonts w:ascii="宋体" w:hAnsi="宋体" w:eastAsia="宋体"/>
        <w:sz w:val="28"/>
        <w:szCs w:val="28"/>
      </w:rPr>
      <w:instrText xml:space="preserve">PAGE  </w:instrText>
    </w:r>
    <w:r>
      <w:rPr>
        <w:rFonts w:ascii="宋体" w:hAnsi="宋体" w:eastAsia="宋体"/>
        <w:sz w:val="28"/>
        <w:szCs w:val="28"/>
      </w:rPr>
      <w:fldChar w:fldCharType="separate"/>
    </w:r>
    <w:r>
      <w:rPr>
        <w:rStyle w:val="18"/>
        <w:rFonts w:ascii="宋体" w:hAnsi="宋体" w:eastAsia="宋体"/>
        <w:sz w:val="28"/>
        <w:szCs w:val="28"/>
      </w:rPr>
      <w:t>22</w:t>
    </w:r>
    <w:r>
      <w:rPr>
        <w:rFonts w:ascii="宋体" w:hAnsi="宋体" w:eastAsia="宋体"/>
        <w:sz w:val="28"/>
        <w:szCs w:val="28"/>
      </w:rPr>
      <w:fldChar w:fldCharType="end"/>
    </w:r>
    <w:r>
      <w:rPr>
        <w:rStyle w:val="18"/>
        <w:rFonts w:hint="eastAsia" w:ascii="宋体" w:hAnsi="宋体" w:eastAsia="宋体"/>
        <w:sz w:val="28"/>
        <w:szCs w:val="28"/>
      </w:rPr>
      <w:t xml:space="preserve"> —</w:t>
    </w:r>
  </w:p>
  <w:p>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ind w:left="320" w:leftChars="100"/>
      <w:rPr>
        <w:rStyle w:val="18"/>
        <w:rFonts w:ascii="宋体" w:hAnsi="宋体" w:eastAsia="宋体"/>
        <w:sz w:val="28"/>
        <w:szCs w:val="28"/>
      </w:rPr>
    </w:pPr>
    <w:r>
      <w:rPr>
        <w:rStyle w:val="18"/>
        <w:rFonts w:hint="eastAsia" w:ascii="宋体" w:hAnsi="宋体" w:eastAsia="宋体"/>
        <w:sz w:val="28"/>
        <w:szCs w:val="28"/>
      </w:rPr>
      <w:t xml:space="preserve">— </w:t>
    </w:r>
    <w:r>
      <w:rPr>
        <w:rFonts w:ascii="宋体" w:hAnsi="宋体" w:eastAsia="宋体"/>
        <w:sz w:val="28"/>
        <w:szCs w:val="28"/>
      </w:rPr>
      <w:fldChar w:fldCharType="begin"/>
    </w:r>
    <w:r>
      <w:rPr>
        <w:rStyle w:val="18"/>
        <w:rFonts w:ascii="宋体" w:hAnsi="宋体" w:eastAsia="宋体"/>
        <w:sz w:val="28"/>
        <w:szCs w:val="28"/>
      </w:rPr>
      <w:instrText xml:space="preserve">PAGE  </w:instrText>
    </w:r>
    <w:r>
      <w:rPr>
        <w:rFonts w:ascii="宋体" w:hAnsi="宋体" w:eastAsia="宋体"/>
        <w:sz w:val="28"/>
        <w:szCs w:val="28"/>
      </w:rPr>
      <w:fldChar w:fldCharType="separate"/>
    </w:r>
    <w:r>
      <w:rPr>
        <w:rStyle w:val="18"/>
        <w:rFonts w:ascii="宋体" w:hAnsi="宋体" w:eastAsia="宋体"/>
        <w:sz w:val="28"/>
        <w:szCs w:val="28"/>
      </w:rPr>
      <w:t>10</w:t>
    </w:r>
    <w:r>
      <w:rPr>
        <w:rFonts w:ascii="宋体" w:hAnsi="宋体" w:eastAsia="宋体"/>
        <w:sz w:val="28"/>
        <w:szCs w:val="28"/>
      </w:rPr>
      <w:fldChar w:fldCharType="end"/>
    </w:r>
    <w:r>
      <w:rPr>
        <w:rStyle w:val="18"/>
        <w:rFonts w:hint="eastAsia" w:ascii="宋体" w:hAnsi="宋体" w:eastAsia="宋体"/>
        <w:sz w:val="28"/>
        <w:szCs w:val="28"/>
      </w:rPr>
      <w:t xml:space="preserve"> —</w:t>
    </w:r>
  </w:p>
  <w:p>
    <w:pPr>
      <w:pStyle w:val="10"/>
      <w:framePr w:wrap="around" w:vAnchor="text" w:hAnchor="margin" w:xAlign="outside" w:y="1"/>
      <w:ind w:left="640" w:leftChars="200" w:right="640" w:rightChars="200" w:firstLine="360"/>
      <w:rPr>
        <w:rStyle w:val="18"/>
        <w:rFonts w:ascii="宋体" w:hAnsi="宋体" w:eastAsia="宋体"/>
        <w:sz w:val="28"/>
        <w:szCs w:val="28"/>
      </w:rPr>
    </w:pPr>
  </w:p>
  <w:p>
    <w:pPr>
      <w:pStyle w:val="10"/>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21E06A"/>
    <w:multiLevelType w:val="singleLevel"/>
    <w:tmpl w:val="4A21E06A"/>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wZjNiNjI2NjljZDQ1OTdiYTk5MzI5YWQwMTY4NTEifQ=="/>
  </w:docVars>
  <w:rsids>
    <w:rsidRoot w:val="00EA0312"/>
    <w:rsid w:val="000021B1"/>
    <w:rsid w:val="0001762E"/>
    <w:rsid w:val="00042288"/>
    <w:rsid w:val="00085FD7"/>
    <w:rsid w:val="00086088"/>
    <w:rsid w:val="000C0D54"/>
    <w:rsid w:val="000C5490"/>
    <w:rsid w:val="000D10F9"/>
    <w:rsid w:val="000D3457"/>
    <w:rsid w:val="000F3D60"/>
    <w:rsid w:val="000F716B"/>
    <w:rsid w:val="001061B4"/>
    <w:rsid w:val="00135716"/>
    <w:rsid w:val="00137F3E"/>
    <w:rsid w:val="00150F85"/>
    <w:rsid w:val="001855BB"/>
    <w:rsid w:val="001A1CF7"/>
    <w:rsid w:val="001B38DC"/>
    <w:rsid w:val="001C73DC"/>
    <w:rsid w:val="00224BED"/>
    <w:rsid w:val="0025549A"/>
    <w:rsid w:val="002558A1"/>
    <w:rsid w:val="00262A5A"/>
    <w:rsid w:val="00265EE3"/>
    <w:rsid w:val="002808E1"/>
    <w:rsid w:val="002A196C"/>
    <w:rsid w:val="002A4A4B"/>
    <w:rsid w:val="002C1D8C"/>
    <w:rsid w:val="002C2446"/>
    <w:rsid w:val="002E207F"/>
    <w:rsid w:val="0030451E"/>
    <w:rsid w:val="003048A0"/>
    <w:rsid w:val="00312A25"/>
    <w:rsid w:val="003170A1"/>
    <w:rsid w:val="003239CF"/>
    <w:rsid w:val="00350AD1"/>
    <w:rsid w:val="00364F5B"/>
    <w:rsid w:val="00370673"/>
    <w:rsid w:val="00375E60"/>
    <w:rsid w:val="00390C56"/>
    <w:rsid w:val="003957C0"/>
    <w:rsid w:val="00395A62"/>
    <w:rsid w:val="003A0425"/>
    <w:rsid w:val="003B36DA"/>
    <w:rsid w:val="003B60F6"/>
    <w:rsid w:val="003B79CF"/>
    <w:rsid w:val="00410C42"/>
    <w:rsid w:val="0042375E"/>
    <w:rsid w:val="00431AAB"/>
    <w:rsid w:val="00433108"/>
    <w:rsid w:val="0043785C"/>
    <w:rsid w:val="004543A9"/>
    <w:rsid w:val="00484995"/>
    <w:rsid w:val="00485DFD"/>
    <w:rsid w:val="00486332"/>
    <w:rsid w:val="00496FB6"/>
    <w:rsid w:val="004F554C"/>
    <w:rsid w:val="00543E64"/>
    <w:rsid w:val="00574B06"/>
    <w:rsid w:val="0058633F"/>
    <w:rsid w:val="00597580"/>
    <w:rsid w:val="005E60F0"/>
    <w:rsid w:val="005F76E0"/>
    <w:rsid w:val="0060432F"/>
    <w:rsid w:val="006047D8"/>
    <w:rsid w:val="006059EC"/>
    <w:rsid w:val="00615358"/>
    <w:rsid w:val="006241DA"/>
    <w:rsid w:val="00630B36"/>
    <w:rsid w:val="00636205"/>
    <w:rsid w:val="00656281"/>
    <w:rsid w:val="00665CE8"/>
    <w:rsid w:val="00667FAC"/>
    <w:rsid w:val="006835F1"/>
    <w:rsid w:val="0069180F"/>
    <w:rsid w:val="00692E27"/>
    <w:rsid w:val="006B0E8A"/>
    <w:rsid w:val="006E5108"/>
    <w:rsid w:val="006F7F8C"/>
    <w:rsid w:val="007138CD"/>
    <w:rsid w:val="00717EED"/>
    <w:rsid w:val="007716CA"/>
    <w:rsid w:val="00777053"/>
    <w:rsid w:val="007848CE"/>
    <w:rsid w:val="007A1DBA"/>
    <w:rsid w:val="007C3A6E"/>
    <w:rsid w:val="007E154F"/>
    <w:rsid w:val="007E4BB6"/>
    <w:rsid w:val="008176F4"/>
    <w:rsid w:val="00833347"/>
    <w:rsid w:val="00862BF3"/>
    <w:rsid w:val="0087680A"/>
    <w:rsid w:val="008A55B3"/>
    <w:rsid w:val="008E7A13"/>
    <w:rsid w:val="00931758"/>
    <w:rsid w:val="00931AAD"/>
    <w:rsid w:val="009328F6"/>
    <w:rsid w:val="00936923"/>
    <w:rsid w:val="009519FC"/>
    <w:rsid w:val="00956299"/>
    <w:rsid w:val="0095794D"/>
    <w:rsid w:val="009671EC"/>
    <w:rsid w:val="0098376E"/>
    <w:rsid w:val="009E7A12"/>
    <w:rsid w:val="00A31651"/>
    <w:rsid w:val="00A33F57"/>
    <w:rsid w:val="00A36142"/>
    <w:rsid w:val="00A63CD4"/>
    <w:rsid w:val="00A74B24"/>
    <w:rsid w:val="00A77FF0"/>
    <w:rsid w:val="00A928CF"/>
    <w:rsid w:val="00AB2AA4"/>
    <w:rsid w:val="00AC5367"/>
    <w:rsid w:val="00AC79F5"/>
    <w:rsid w:val="00AD4806"/>
    <w:rsid w:val="00AE0F4F"/>
    <w:rsid w:val="00AE3AE7"/>
    <w:rsid w:val="00AF6407"/>
    <w:rsid w:val="00B172F7"/>
    <w:rsid w:val="00B958B1"/>
    <w:rsid w:val="00BB798C"/>
    <w:rsid w:val="00BC5F3A"/>
    <w:rsid w:val="00BD7E54"/>
    <w:rsid w:val="00C17B2E"/>
    <w:rsid w:val="00C44574"/>
    <w:rsid w:val="00CA4226"/>
    <w:rsid w:val="00CA514D"/>
    <w:rsid w:val="00CB3075"/>
    <w:rsid w:val="00CD36AF"/>
    <w:rsid w:val="00CE73C5"/>
    <w:rsid w:val="00D42FD5"/>
    <w:rsid w:val="00D473DA"/>
    <w:rsid w:val="00D56F4D"/>
    <w:rsid w:val="00D57A65"/>
    <w:rsid w:val="00D61ACB"/>
    <w:rsid w:val="00DB38BA"/>
    <w:rsid w:val="00DE7F9A"/>
    <w:rsid w:val="00E03947"/>
    <w:rsid w:val="00E10DE7"/>
    <w:rsid w:val="00E1149D"/>
    <w:rsid w:val="00E1404C"/>
    <w:rsid w:val="00E1513E"/>
    <w:rsid w:val="00E423FC"/>
    <w:rsid w:val="00E45C69"/>
    <w:rsid w:val="00E6295D"/>
    <w:rsid w:val="00E6751D"/>
    <w:rsid w:val="00E75856"/>
    <w:rsid w:val="00E9754E"/>
    <w:rsid w:val="00EA0312"/>
    <w:rsid w:val="00ED1239"/>
    <w:rsid w:val="00EE20BE"/>
    <w:rsid w:val="00EE31E1"/>
    <w:rsid w:val="00EF14EE"/>
    <w:rsid w:val="00F12B76"/>
    <w:rsid w:val="00F30C85"/>
    <w:rsid w:val="00F51159"/>
    <w:rsid w:val="00F546DD"/>
    <w:rsid w:val="00FA3D69"/>
    <w:rsid w:val="00FA7E68"/>
    <w:rsid w:val="00FD0EE7"/>
    <w:rsid w:val="00FF3094"/>
    <w:rsid w:val="1A902EA0"/>
    <w:rsid w:val="74DA0D6F"/>
    <w:rsid w:val="75CC0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styleId="2">
    <w:name w:val="heading 1"/>
    <w:basedOn w:val="1"/>
    <w:next w:val="1"/>
    <w:link w:val="22"/>
    <w:qFormat/>
    <w:uiPriority w:val="0"/>
    <w:pPr>
      <w:keepNext/>
      <w:keepLines/>
      <w:spacing w:before="340" w:after="330" w:line="578" w:lineRule="auto"/>
      <w:outlineLvl w:val="0"/>
    </w:pPr>
    <w:rPr>
      <w:rFonts w:ascii="Calibri" w:hAnsi="Calibri" w:eastAsia="宋体"/>
      <w:b/>
      <w:bCs/>
      <w:kern w:val="44"/>
      <w:sz w:val="44"/>
      <w:szCs w:val="44"/>
    </w:rPr>
  </w:style>
  <w:style w:type="paragraph" w:styleId="3">
    <w:name w:val="heading 2"/>
    <w:basedOn w:val="1"/>
    <w:next w:val="1"/>
    <w:link w:val="23"/>
    <w:qFormat/>
    <w:uiPriority w:val="0"/>
    <w:pPr>
      <w:keepNext/>
      <w:keepLines/>
      <w:spacing w:before="260" w:after="260" w:line="416" w:lineRule="auto"/>
      <w:outlineLvl w:val="1"/>
    </w:pPr>
    <w:rPr>
      <w:rFonts w:ascii="Cambria" w:hAnsi="Cambria" w:eastAsia="宋体"/>
      <w:b/>
      <w:bCs/>
      <w:szCs w:val="32"/>
    </w:rPr>
  </w:style>
  <w:style w:type="paragraph" w:styleId="4">
    <w:name w:val="heading 4"/>
    <w:basedOn w:val="1"/>
    <w:next w:val="1"/>
    <w:link w:val="24"/>
    <w:qFormat/>
    <w:uiPriority w:val="0"/>
    <w:pPr>
      <w:keepNext/>
      <w:keepLines/>
      <w:spacing w:before="280" w:after="290" w:line="376" w:lineRule="auto"/>
      <w:ind w:left="1984" w:hanging="708"/>
      <w:outlineLvl w:val="3"/>
    </w:pPr>
    <w:rPr>
      <w:rFonts w:ascii="Cambria" w:hAnsi="Cambria" w:eastAsia="宋体"/>
      <w:b/>
      <w:bCs/>
      <w:sz w:val="28"/>
      <w:szCs w:val="28"/>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5"/>
    <w:uiPriority w:val="0"/>
    <w:pPr>
      <w:spacing w:after="120"/>
    </w:pPr>
  </w:style>
  <w:style w:type="paragraph" w:styleId="6">
    <w:name w:val="Body Text Indent"/>
    <w:basedOn w:val="1"/>
    <w:link w:val="26"/>
    <w:uiPriority w:val="0"/>
    <w:pPr>
      <w:ind w:firstLine="640"/>
    </w:pPr>
    <w:rPr>
      <w:rFonts w:hint="eastAsia" w:ascii="仿宋_GB2312" w:eastAsia="仿宋_GB2312"/>
    </w:rPr>
  </w:style>
  <w:style w:type="paragraph" w:styleId="7">
    <w:name w:val="Block Text"/>
    <w:basedOn w:val="1"/>
    <w:qFormat/>
    <w:uiPriority w:val="0"/>
    <w:pPr>
      <w:ind w:left="-178" w:leftChars="-85" w:right="-693" w:rightChars="-330" w:firstLine="560" w:firstLineChars="200"/>
    </w:pPr>
    <w:rPr>
      <w:rFonts w:eastAsia="宋体"/>
      <w:sz w:val="28"/>
      <w:szCs w:val="24"/>
    </w:rPr>
  </w:style>
  <w:style w:type="paragraph" w:styleId="8">
    <w:name w:val="Plain Text"/>
    <w:basedOn w:val="1"/>
    <w:link w:val="27"/>
    <w:qFormat/>
    <w:uiPriority w:val="0"/>
    <w:rPr>
      <w:rFonts w:ascii="宋体" w:hAnsi="Courier New" w:eastAsia="宋体"/>
      <w:sz w:val="21"/>
      <w:szCs w:val="21"/>
    </w:rPr>
  </w:style>
  <w:style w:type="paragraph" w:styleId="9">
    <w:name w:val="Date"/>
    <w:basedOn w:val="1"/>
    <w:next w:val="1"/>
    <w:link w:val="28"/>
    <w:qFormat/>
    <w:uiPriority w:val="0"/>
    <w:pPr>
      <w:ind w:left="100" w:leftChars="2500"/>
    </w:pPr>
  </w:style>
  <w:style w:type="paragraph" w:styleId="10">
    <w:name w:val="footer"/>
    <w:basedOn w:val="1"/>
    <w:link w:val="21"/>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11">
    <w:name w:val="header"/>
    <w:basedOn w:val="1"/>
    <w:link w:val="20"/>
    <w:unhideWhenUsed/>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Title"/>
    <w:basedOn w:val="1"/>
    <w:next w:val="1"/>
    <w:link w:val="29"/>
    <w:qFormat/>
    <w:uiPriority w:val="0"/>
    <w:pPr>
      <w:spacing w:line="500" w:lineRule="exact"/>
      <w:ind w:firstLine="200" w:firstLineChars="200"/>
      <w:jc w:val="center"/>
      <w:outlineLvl w:val="0"/>
    </w:pPr>
    <w:rPr>
      <w:rFonts w:ascii="Cambria" w:hAnsi="Cambria" w:eastAsia="方正小标宋_GBK"/>
      <w:bCs/>
      <w:kern w:val="0"/>
      <w:sz w:val="44"/>
      <w:szCs w:val="32"/>
    </w:rPr>
  </w:style>
  <w:style w:type="table" w:styleId="15">
    <w:name w:val="Table Grid"/>
    <w:basedOn w:val="14"/>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uiPriority w:val="22"/>
    <w:rPr>
      <w:b/>
      <w:bCs/>
    </w:rPr>
  </w:style>
  <w:style w:type="character" w:styleId="18">
    <w:name w:val="page number"/>
    <w:qFormat/>
    <w:uiPriority w:val="0"/>
  </w:style>
  <w:style w:type="character" w:styleId="19">
    <w:name w:val="Hyperlink"/>
    <w:qFormat/>
    <w:uiPriority w:val="0"/>
    <w:rPr>
      <w:color w:val="0000FF"/>
      <w:u w:val="single"/>
    </w:rPr>
  </w:style>
  <w:style w:type="character" w:customStyle="1" w:styleId="20">
    <w:name w:val="页眉 Char"/>
    <w:basedOn w:val="16"/>
    <w:link w:val="11"/>
    <w:uiPriority w:val="0"/>
    <w:rPr>
      <w:sz w:val="18"/>
      <w:szCs w:val="18"/>
    </w:rPr>
  </w:style>
  <w:style w:type="character" w:customStyle="1" w:styleId="21">
    <w:name w:val="页脚 Char"/>
    <w:basedOn w:val="16"/>
    <w:link w:val="10"/>
    <w:qFormat/>
    <w:uiPriority w:val="0"/>
    <w:rPr>
      <w:sz w:val="18"/>
      <w:szCs w:val="18"/>
    </w:rPr>
  </w:style>
  <w:style w:type="character" w:customStyle="1" w:styleId="22">
    <w:name w:val="标题 1 Char"/>
    <w:basedOn w:val="16"/>
    <w:link w:val="2"/>
    <w:uiPriority w:val="0"/>
    <w:rPr>
      <w:rFonts w:ascii="Calibri" w:hAnsi="Calibri" w:eastAsia="宋体" w:cs="Times New Roman"/>
      <w:b/>
      <w:bCs/>
      <w:kern w:val="44"/>
      <w:sz w:val="44"/>
      <w:szCs w:val="44"/>
    </w:rPr>
  </w:style>
  <w:style w:type="character" w:customStyle="1" w:styleId="23">
    <w:name w:val="标题 2 Char"/>
    <w:basedOn w:val="16"/>
    <w:link w:val="3"/>
    <w:uiPriority w:val="0"/>
    <w:rPr>
      <w:rFonts w:ascii="Cambria" w:hAnsi="Cambria" w:eastAsia="宋体" w:cs="Times New Roman"/>
      <w:b/>
      <w:bCs/>
      <w:sz w:val="32"/>
      <w:szCs w:val="32"/>
    </w:rPr>
  </w:style>
  <w:style w:type="character" w:customStyle="1" w:styleId="24">
    <w:name w:val="标题 4 Char"/>
    <w:basedOn w:val="16"/>
    <w:link w:val="4"/>
    <w:uiPriority w:val="0"/>
    <w:rPr>
      <w:rFonts w:ascii="Cambria" w:hAnsi="Cambria" w:eastAsia="宋体" w:cs="Times New Roman"/>
      <w:b/>
      <w:bCs/>
      <w:sz w:val="28"/>
      <w:szCs w:val="28"/>
    </w:rPr>
  </w:style>
  <w:style w:type="character" w:customStyle="1" w:styleId="25">
    <w:name w:val="正文文本 Char"/>
    <w:basedOn w:val="16"/>
    <w:link w:val="5"/>
    <w:uiPriority w:val="0"/>
    <w:rPr>
      <w:rFonts w:ascii="Times New Roman" w:hAnsi="Times New Roman" w:eastAsia="方正仿宋_GBK" w:cs="Times New Roman"/>
      <w:sz w:val="32"/>
      <w:szCs w:val="20"/>
    </w:rPr>
  </w:style>
  <w:style w:type="character" w:customStyle="1" w:styleId="26">
    <w:name w:val="正文文本缩进 Char"/>
    <w:basedOn w:val="16"/>
    <w:link w:val="6"/>
    <w:qFormat/>
    <w:uiPriority w:val="0"/>
    <w:rPr>
      <w:rFonts w:ascii="仿宋_GB2312" w:hAnsi="Times New Roman" w:eastAsia="仿宋_GB2312" w:cs="Times New Roman"/>
      <w:sz w:val="32"/>
      <w:szCs w:val="20"/>
    </w:rPr>
  </w:style>
  <w:style w:type="character" w:customStyle="1" w:styleId="27">
    <w:name w:val="纯文本 Char"/>
    <w:basedOn w:val="16"/>
    <w:link w:val="8"/>
    <w:qFormat/>
    <w:uiPriority w:val="0"/>
    <w:rPr>
      <w:rFonts w:ascii="宋体" w:hAnsi="Courier New" w:eastAsia="宋体" w:cs="Times New Roman"/>
      <w:szCs w:val="21"/>
    </w:rPr>
  </w:style>
  <w:style w:type="character" w:customStyle="1" w:styleId="28">
    <w:name w:val="日期 Char"/>
    <w:basedOn w:val="16"/>
    <w:link w:val="9"/>
    <w:qFormat/>
    <w:uiPriority w:val="0"/>
    <w:rPr>
      <w:rFonts w:ascii="Times New Roman" w:hAnsi="Times New Roman" w:eastAsia="方正仿宋_GBK" w:cs="Times New Roman"/>
      <w:sz w:val="32"/>
      <w:szCs w:val="20"/>
    </w:rPr>
  </w:style>
  <w:style w:type="character" w:customStyle="1" w:styleId="29">
    <w:name w:val="标题 Char"/>
    <w:basedOn w:val="16"/>
    <w:link w:val="13"/>
    <w:qFormat/>
    <w:uiPriority w:val="0"/>
    <w:rPr>
      <w:rFonts w:ascii="Cambria" w:hAnsi="Cambria" w:eastAsia="方正小标宋_GBK" w:cs="Times New Roman"/>
      <w:bCs/>
      <w:kern w:val="0"/>
      <w:sz w:val="44"/>
      <w:szCs w:val="32"/>
    </w:rPr>
  </w:style>
  <w:style w:type="character" w:customStyle="1" w:styleId="30">
    <w:name w:val="Title Char"/>
    <w:qFormat/>
    <w:locked/>
    <w:uiPriority w:val="0"/>
    <w:rPr>
      <w:rFonts w:ascii="Cambria" w:hAnsi="Cambria" w:eastAsia="方正小标宋_GBK" w:cs="Times New Roman"/>
      <w:bCs/>
      <w:sz w:val="32"/>
      <w:szCs w:val="32"/>
    </w:rPr>
  </w:style>
  <w:style w:type="character" w:customStyle="1" w:styleId="31">
    <w:name w:val="Char Char3"/>
    <w:qFormat/>
    <w:uiPriority w:val="0"/>
    <w:rPr>
      <w:sz w:val="18"/>
      <w:szCs w:val="18"/>
      <w:lang w:bidi="ar-SA"/>
    </w:rPr>
  </w:style>
  <w:style w:type="character" w:customStyle="1" w:styleId="32">
    <w:name w:val="apple-style-span"/>
    <w:qFormat/>
    <w:uiPriority w:val="0"/>
  </w:style>
  <w:style w:type="character" w:customStyle="1" w:styleId="33">
    <w:name w:val="style231"/>
    <w:qFormat/>
    <w:uiPriority w:val="0"/>
    <w:rPr>
      <w:b/>
      <w:bCs/>
      <w:sz w:val="24"/>
      <w:szCs w:val="24"/>
    </w:rPr>
  </w:style>
  <w:style w:type="paragraph" w:styleId="34">
    <w:name w:val="List Paragraph"/>
    <w:basedOn w:val="1"/>
    <w:qFormat/>
    <w:uiPriority w:val="34"/>
    <w:pPr>
      <w:ind w:firstLine="420" w:firstLineChars="200"/>
    </w:pPr>
    <w:rPr>
      <w:rFonts w:ascii="仿宋" w:hAnsi="仿宋" w:eastAsia="仿宋"/>
      <w:sz w:val="28"/>
      <w:szCs w:val="22"/>
    </w:rPr>
  </w:style>
  <w:style w:type="paragraph" w:customStyle="1" w:styleId="35">
    <w:name w:val="默认段落字体 Para Char Char Char Char Char Char Char Char Char Char"/>
    <w:basedOn w:val="1"/>
    <w:qFormat/>
    <w:uiPriority w:val="0"/>
    <w:rPr>
      <w:rFonts w:ascii="Arial" w:hAnsi="Arial" w:eastAsia="宋体" w:cs="Arial"/>
      <w:sz w:val="20"/>
    </w:rPr>
  </w:style>
  <w:style w:type="paragraph" w:customStyle="1" w:styleId="36">
    <w:name w:val="Char Char Char Char Char Char Char Char Char Char Char Char Char Char Char Char Char Char Char Char Char Char"/>
    <w:basedOn w:val="1"/>
    <w:qFormat/>
    <w:uiPriority w:val="0"/>
    <w:rPr>
      <w:rFonts w:eastAsia="宋体"/>
      <w:sz w:val="21"/>
    </w:rPr>
  </w:style>
  <w:style w:type="paragraph" w:customStyle="1" w:styleId="37">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eastAsia="宋体"/>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23</Pages>
  <Words>2021</Words>
  <Characters>11521</Characters>
  <Lines>96</Lines>
  <Paragraphs>27</Paragraphs>
  <TotalTime>4</TotalTime>
  <ScaleCrop>false</ScaleCrop>
  <LinksUpToDate>false</LinksUpToDate>
  <CharactersWithSpaces>13515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2023-10-24T08:30:00Z</dcterms:created>
  <dc:creator>xtzj</dc:creator>
  <cp:lastModifiedBy>Administrator</cp:lastModifiedBy>
  <dcterms:modified xsi:type="dcterms:W3CDTF">2023-10-27T08:30:52Z</dcterms:modified>
  <cp:revision>150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D7772937C90B47BE9438CC41C1239100_12</vt:lpwstr>
  </property>
</Properties>
</file>